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6d. VersRMAbschR — Zinsansprüche</w:t>
      </w:r>
    </w:p>
    <w:p>
      <w:r>
        <w:rPr>
          <w:color w:val="555555"/>
          <w:sz w:val="18"/>
        </w:rPr>
        <w:t xml:space="preserve">Richtlinien zur Erstellung des Reichsmarkabschlusses und der Umstellungsrechnung der Versicherungsunternehmer</w:t>
      </w:r>
    </w:p>
    <w:p>
      <w:r>
        <w:rPr>
          <w:color w:val="555555"/>
          <w:sz w:val="18"/>
        </w:rPr>
        <w:t xml:space="preserve">Stand: 10.06.2019 (konsolidierte Textfassung, kein amtliches Inkrafttretensdatum)</w:t>
      </w:r>
    </w:p>
    <w:p>
      <w:r>
        <w:t xml:space="preserve">Zinsansprüche für die Zeit bis zum 20. Juni 1948 dürfen mit der sich aus Ziffer 6a Buchstabe A Nr. 5 ergebenden Einschränkung in der Reichsmarkschlußbilanz aktiviert werden, soweit sie auf die Zeit bis zum letzten Bilanzstichtag vor dem 9. Mai 1945 entfallen, oder soweit es sich um solche Zinsansprüche für die Zeit von diesem Stichtag bis zum 20. Juni 1948 handelt, die nach dem 20. Juni 1948 beglichen wurden, oder mit deren Begleichung gerechnet werden kann. Dies gilt in gleicher Weise für Zinsansprüche aus Krediten wie für Zinsansprüche aus Schuldverschreibungen, sonstigen Wertpapieren und Schuldbuchforderungen.</w:t>
      </w:r>
    </w:p>
    <w:p>
      <w:r>
        <w:rPr>
          <w:color w:val="555555"/>
          <w:sz w:val="17"/>
        </w:rPr>
        <w:t xml:space="preserve">Zitiervorschlag: 6d. VersRMAbschR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https://recht.nulegal.eu/gesetze/VersRMAbschR/6d.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