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VersRücklG — Verwendung des Sondervermögens</w:t>
      </w:r>
    </w:p>
    <w:p>
      <w:r>
        <w:rPr>
          <w:color w:val="555555"/>
          <w:sz w:val="18"/>
        </w:rPr>
        <w:t xml:space="preserve">Versorgungsrücklagegesetz</w:t>
      </w:r>
    </w:p>
    <w:p>
      <w:r>
        <w:rPr>
          <w:color w:val="555555"/>
          <w:sz w:val="18"/>
        </w:rPr>
        <w:t xml:space="preserve">Stand: 10.06.2019 (konsolidierte Textfassung, kein amtliches Inkrafttretensdatum)</w:t>
      </w:r>
    </w:p>
    <w:p>
      <w:r>
        <w:t xml:space="preserve">Das Sondervermögen ist nach Abschluss der Zuführung der Mittel (§ 14a Absatz 2 und 3 des Bundesbesoldungsgesetzes) ab 1. Januar 2032 über einen Zeitraum von 15 Jahren zur schrittweisen Entlastung von Versorgungsaufwendungen einzusetzen. Die Entnahme von Mitteln ist durch Gesetz zu regeln. Die Entnahme der gesondert ausgewiesenen Mittel der bundesunmittelbaren Sozialversicherungsträger erfolgt auf der Grundlage von Beschlüssen der Selbstverwaltungsorgane.</w:t>
      </w:r>
    </w:p>
    <w:p>
      <w:r>
        <w:rPr>
          <w:color w:val="555555"/>
          <w:sz w:val="17"/>
        </w:rPr>
        <w:t xml:space="preserve">Zitiervorschlag: § 7 VersRücklG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https://recht.nulegal.eu/gesetze/VersR%C3%BCcklG/7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