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VersRücklG — Errichtung</w:t>
      </w:r>
    </w:p>
    <w:p>
      <w:r>
        <w:rPr>
          <w:color w:val="555555"/>
          <w:sz w:val="18"/>
        </w:rPr>
        <w:t xml:space="preserve">Versorgungsrücklagegesetz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 den Zuführungen nach § 14a Absatz 1 bis 3 des Bundesbesoldungsgesetzes wird eine „Versorgungsrücklage des Bundes“ als Sondervermögen des Bundes errichtet.</w:t>
      </w:r>
    </w:p>
    <w:p>
      <w:r>
        <w:rPr>
          <w:color w:val="555555"/>
          <w:sz w:val="17"/>
        </w:rPr>
        <w:t xml:space="preserve">Zitiervorschlag: § 2 VersRücklG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https://recht.nulegal.eu/gesetze/VersR%C3%BCcklG/2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