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VersRücklG — Geltungsbereich</w:t>
      </w:r>
    </w:p>
    <w:p>
      <w:r>
        <w:rPr>
          <w:color w:val="555555"/>
          <w:sz w:val="18"/>
        </w:rPr>
        <w:t xml:space="preserve">Versorgungsrücklagegesetz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Vorschriften des Abschnitts 2 gelten für den Bund und alle bundesunmittelbaren Körperschaften, Anstalten und Stiftungen, die Dienstherrnfähigkeit besitzen.</w:t>
      </w:r>
    </w:p>
    <w:p>
      <w:r>
        <w:t xml:space="preserve">(2) Die Vorschriften des Abschnitts 2 gelten nicht, wenn Pensionsrückstellungen oder Pensionsrücklagen aufgrund anderer gesetzlicher Vorschriften gebildet werden. § 3 Satz 3 gilt entsprechend.</w:t>
      </w:r>
    </w:p>
    <w:p>
      <w:r>
        <w:rPr>
          <w:color w:val="555555"/>
          <w:sz w:val="17"/>
        </w:rPr>
        <w:t xml:space="preserve">Zitiervorschlag: § 13 VersRücklG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https://recht.nulegal.eu/gesetze/VersR%C3%BCcklG/13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