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VersRücklG — Auflösung</w:t>
      </w:r>
    </w:p>
    <w:p>
      <w:r>
        <w:rPr>
          <w:color w:val="555555"/>
          <w:sz w:val="18"/>
        </w:rPr>
        <w:t xml:space="preserve">Versorgungsrücklagegesetz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Sondervermögen gilt nach Auszahlung seines Vermögens (§ 7) als aufgelöst.</w:t>
      </w:r>
    </w:p>
    <w:p>
      <w:r>
        <w:rPr>
          <w:color w:val="555555"/>
          <w:sz w:val="17"/>
        </w:rPr>
        <w:t xml:space="preserve">Zitiervorschlag: § 12 VersRücklG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https://recht.nulegal.eu/gesetze/VersR%C3%BCcklG/12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