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VersMeldeV — Berichtspflichten nach der Verordnung (EU) 1374/2014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Benutzen Unternehmen den Meldeweg über die Bundesanstalt zur Erfüllung ihrer Berichtspflichten nach der Verordnung (EU) Nr. 1374/2014, gelten die Anforderungen nach § 2 Absatz 3 bis 5, § 3 Absatz 2, § 4 Absatz 1 und 2, § 5 Absatz 1 und 2 sowie § 6 Satz 1 entsprechend.</w:t>
      </w:r>
    </w:p>
    <w:p>
      <w:r>
        <w:t xml:space="preserve">(2) Die betroffenen Unternehmen haben die vorgeschriebenen Meldevordrucke zu verwenden, auf die sie über das Internet bei der Deutschen Bundesbank Zugriff haben. Korrekturmeldungen sind bei der Bundesanstalt einzureichen.</w:t>
      </w:r>
    </w:p>
    <w:p>
      <w:r>
        <w:rPr>
          <w:color w:val="555555"/>
          <w:sz w:val="17"/>
        </w:rPr>
        <w:t xml:space="preserve">Zitiervorschlag: § 7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