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VersMeldeV — Unternehmenskennung</w:t>
      </w:r>
    </w:p>
    <w:p>
      <w:r>
        <w:rPr>
          <w:color w:val="555555"/>
          <w:sz w:val="18"/>
        </w:rPr>
        <w:t xml:space="preserve">Versicherungs-Meldeverordnung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Übermittlung quantitativer Informationen haben sich die Unternehmen gegenüber der Bundesanstalt durch eine Kennziffer für die juristische Person zu identifizieren.</w:t>
      </w:r>
    </w:p>
    <w:p>
      <w:r>
        <w:t xml:space="preserve">(2) Die Unternehmen haben die erforderlichen Vorkehrungen dafür zu treffen, dass sie eine Kennziffer gemäß Absatz 1 erhalten und eine ihnen einmal zugeteilte Kennziffer auf Dauer von ihnen verwendet werden darf.</w:t>
      </w:r>
    </w:p>
    <w:p>
      <w:r>
        <w:t xml:space="preserve">(3) Die in § 1 Nummer 2 genannten Unternehmen müssen bei der Gruppenberichterstattung an die Bundesanstalt für juristische Personen, die der Gruppe angehören, eine Kennziffer im Sinne des Absatzes 1 verwenden. Die Unternehmen haben dafür Sorge zu tragen, dass die betroffenen juristischen Personen über eine solche Kennziffer verfügen und sie auf Dauer verwenden dürfen.</w:t>
      </w:r>
    </w:p>
    <w:p>
      <w:r>
        <w:rPr>
          <w:color w:val="555555"/>
          <w:sz w:val="17"/>
        </w:rPr>
        <w:t xml:space="preserve">Zitiervorschlag: § 5 VersMeldeV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https://recht.nulegal.eu/gesetze/VersMeldeV/5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