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VersMeldeV — Datenformate</w:t>
      </w:r>
    </w:p>
    <w:p>
      <w:r>
        <w:rPr>
          <w:color w:val="555555"/>
          <w:sz w:val="18"/>
        </w:rPr>
        <w:t xml:space="preserve">Versicherungs-Meldeverordnung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veröffentlicht auf ihrer Internetseite die für eine elektronische Dateneinreichung jeweils zu verwendenden Datenformate, insbesondere soweit narrative Berichte zu übermitteln sind.</w:t>
      </w:r>
    </w:p>
    <w:p>
      <w:r>
        <w:t xml:space="preserve">(2) Die quantitativen Informationen nach Artikel 304 Absatz 1 Buchstabe d und Artikel 372 Absatz 1 in Verbindung mit Artikel 304 Absatz 1 Buchstabe d der Delegierten Verordnung (EU) 2015/35 (quantitative Vorlagen) sind auf Basis der von der Europäischen Aufsichtsbehörde für das Versicherungswesen und die betriebliche Altersversorgung auf ihrer Internetseite veröffentlichten aktuellen XBRL-Taxonomie einzureichen.</w:t>
      </w:r>
    </w:p>
    <w:p>
      <w:r>
        <w:rPr>
          <w:color w:val="555555"/>
          <w:sz w:val="17"/>
        </w:rPr>
        <w:t xml:space="preserve">Zitiervorschlag: § 3 VersMeldeV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https://recht.nulegal.eu/gesetze/VersMeldeV/3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