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VersMeldeV — Art und Weise der Datenübermittlung</w:t>
      </w:r>
    </w:p>
    <w:p>
      <w:r>
        <w:rPr>
          <w:color w:val="555555"/>
          <w:sz w:val="18"/>
        </w:rPr>
        <w:t xml:space="preserve">Versicherungs-Meldeverordnung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1 Nummer 1 genannten Unternehmen müssen die Daten nach Artikel 304 Absatz 1 und Artikel 314 der Delegierten Verordnung (EU) 2015/35 in elektronischer Form an die Bundesanstalt übermitteln. Bei der Übermittlung sind die in Artikel 300 Absatz 2 und Artikel 312 Absatz 1 Buchstabe a bis d der Delegierten Verordnung (EU) 2015/35 festgelegten Fristen zu beachten.</w:t>
      </w:r>
    </w:p>
    <w:p>
      <w:r>
        <w:t xml:space="preserve">(2) Die in § 1 Nummer 2 genannten Unternehmen müssen die Daten nach den Artikeln 372 und 375 der Delegierten Verordnung (EU) Nr. 2015/35 in elektronischer Form an die Bundesanstalt übermitteln. Bei der Übermittlung sind die in Artikel 373 der Delegierten Verordnung (EU) Nr. 2015/35 festgelegten Fristen einzuhalten.</w:t>
      </w:r>
    </w:p>
    <w:p>
      <w:r>
        <w:t xml:space="preserve">(3) Bei der Übermittlung sind die technischen Durchführungsstandards zu verwenden, die von der Kommission erlassen worden sind nach Artikel 35 Absatz 10 der Richtlinie 2009/138/EG des Europäischen Parlaments und des Rates vom 25. November 2009 betreffend die Aufnahme und Ausübung der Versicherungs- und der Rückversicherungstätigkeit (Solvabilität II) (ABl. L 335 vom 17.12.2009, S. 1), die zuletzt durch die Richtlinie 2014/51/EU (ABl. L 153 vom 22.5.2014, S. 1) geändert worden ist.</w:t>
      </w:r>
    </w:p>
    <w:p>
      <w:r>
        <w:t xml:space="preserve">(4) Die Datenübermittlung erfolgt an die Melde- und Veröffentlichungsplattform (MVP-Portal) der Bundesanstalt. Unternehmen haben über das Internet Zugang zum MVP-Portal, nachdem sie sich bei der Bundesanstalt hierfür registriert haben.</w:t>
      </w:r>
    </w:p>
    <w:p>
      <w:r>
        <w:t xml:space="preserve">(5) Die Unternehmen haben die ordnungsgemäße Datenübermittlung durch Berücksichtigung der am MVP-Portal hinterlegten Informationen und Hinweise sicherzustellen.</w:t>
      </w:r>
    </w:p>
    <w:p>
      <w:r>
        <w:rPr>
          <w:color w:val="555555"/>
          <w:sz w:val="17"/>
        </w:rPr>
        <w:t xml:space="preserve">Zitiervorschlag: § 2 VersMeldeV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https://recht.nulegal.eu/gesetze/VersMeldeV/2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