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VersMedV — zu § 2 der Versorgungsmedizin-Verordnung vom 10. Dezember 2008</w:t>
      </w:r>
    </w:p>
    <w:p>
      <w:r>
        <w:rPr>
          <w:color w:val="555555"/>
          <w:sz w:val="18"/>
        </w:rPr>
        <w:t xml:space="preserve">Versorgungsmedizin-Verordnung</w:t>
      </w:r>
    </w:p>
    <w:p>
      <w:r>
        <w:rPr>
          <w:color w:val="555555"/>
          <w:sz w:val="18"/>
        </w:rPr>
        <w:t xml:space="preserve">Stand: 03.10.2025 (konsolidierte Textfassung, kein amtliches Inkrafttretensdatum)</w:t>
      </w:r>
    </w:p>
    <w:p>
      <w:r>
        <w:t xml:space="preserve">(Fundstelle: Anlageband zum BGBl. I Nr. 57 vom 15. Dezember 2008, bzgl. der einzelnen Änderungen vgl. Fußnote)</w:t>
      </w:r>
    </w:p>
    <w:p>
      <w:r>
        <w:rPr>
          <w:rFonts w:ascii="Courier New" w:hAnsi="Courier New"/>
          <w:sz w:val="17"/>
        </w:rPr>
        <w:t xml:space="preserve">Inhaltsverzeichnis</w:t>
      </w:r>
    </w:p>
    <w:p>
      <w:r>
        <w:rPr>
          <w:rFonts w:ascii="Courier New" w:hAnsi="Courier New"/>
          <w:sz w:val="17"/>
        </w:rPr>
        <w:t xml:space="preserve">Teil A: Gemeinsame Grundsätze</w:t>
      </w:r>
    </w:p>
    <w:p>
      <w:r>
        <w:rPr>
          <w:rFonts w:ascii="Courier New" w:hAnsi="Courier New"/>
          <w:sz w:val="17"/>
        </w:rPr>
        <w:t xml:space="preserve">1.    Grad der Behinderung (GdB), Grad der Schädigungsfolgen (GdS)    8</w:t>
      </w:r>
    </w:p>
    <w:p>
      <w:r>
        <w:rPr>
          <w:rFonts w:ascii="Courier New" w:hAnsi="Courier New"/>
          <w:sz w:val="17"/>
        </w:rPr>
        <w:t xml:space="preserve">2.    Heilungsbewährung    8</w:t>
      </w:r>
    </w:p>
    <w:p>
      <w:r>
        <w:rPr>
          <w:rFonts w:ascii="Courier New" w:hAnsi="Courier New"/>
          <w:sz w:val="17"/>
        </w:rPr>
        <w:t xml:space="preserve">3.    Bildung des GdB bei Vorliegen mehrerer Gesundheitsstörungen    10</w:t>
      </w:r>
    </w:p>
    <w:p>
      <w:r>
        <w:rPr>
          <w:rFonts w:ascii="Courier New" w:hAnsi="Courier New"/>
          <w:sz w:val="17"/>
        </w:rPr>
        <w:t xml:space="preserve">4.    Hilflosigkeit    11</w:t>
      </w:r>
    </w:p>
    <w:p>
      <w:r>
        <w:rPr>
          <w:rFonts w:ascii="Courier New" w:hAnsi="Courier New"/>
          <w:sz w:val="17"/>
        </w:rPr>
        <w:t xml:space="preserve">5.    Besonderheiten der Beurteilung der Hilflosigkeit bei Kindern und Jugendlichen    12</w:t>
      </w:r>
    </w:p>
    <w:p>
      <w:r>
        <w:rPr>
          <w:rFonts w:ascii="Courier New" w:hAnsi="Courier New"/>
          <w:sz w:val="17"/>
        </w:rPr>
        <w:t xml:space="preserve">6.    Blindheit und hochgradige Sehbehinderung    14</w:t>
      </w:r>
    </w:p>
    <w:p>
      <w:r>
        <w:rPr>
          <w:rFonts w:ascii="Courier New" w:hAnsi="Courier New"/>
          <w:sz w:val="17"/>
        </w:rPr>
        <w:t xml:space="preserve">7.    Wesentliche Änderung der Verhältnisse    15</w:t>
      </w:r>
    </w:p>
    <w:p>
      <w:r>
        <w:rPr>
          <w:rFonts w:ascii="Courier New" w:hAnsi="Courier New"/>
          <w:sz w:val="17"/>
        </w:rPr>
        <w:t xml:space="preserve">Teil B: GdS-Tabelle</w:t>
      </w:r>
    </w:p>
    <w:p>
      <w:r>
        <w:rPr>
          <w:rFonts w:ascii="Courier New" w:hAnsi="Courier New"/>
          <w:sz w:val="17"/>
        </w:rPr>
        <w:t xml:space="preserve">1.    (weggefallen)    18</w:t>
      </w:r>
    </w:p>
    <w:p>
      <w:r>
        <w:rPr>
          <w:rFonts w:ascii="Courier New" w:hAnsi="Courier New"/>
          <w:sz w:val="17"/>
        </w:rPr>
        <w:t xml:space="preserve">2.    Kopf und Gesicht    18</w:t>
      </w:r>
    </w:p>
    <w:p>
      <w:r>
        <w:rPr>
          <w:rFonts w:ascii="Courier New" w:hAnsi="Courier New"/>
          <w:sz w:val="17"/>
        </w:rPr>
        <w:t xml:space="preserve">3.    Nervensystem und Psyche    20</w:t>
      </w:r>
    </w:p>
    <w:p>
      <w:r>
        <w:rPr>
          <w:rFonts w:ascii="Courier New" w:hAnsi="Courier New"/>
          <w:sz w:val="17"/>
        </w:rPr>
        <w:t xml:space="preserve">4.    Sehorgan    29</w:t>
      </w:r>
    </w:p>
    <w:p>
      <w:r>
        <w:rPr>
          <w:rFonts w:ascii="Courier New" w:hAnsi="Courier New"/>
          <w:sz w:val="17"/>
        </w:rPr>
        <w:t xml:space="preserve">5.    Hör- und Gleichgewichtsorgan    33</w:t>
      </w:r>
    </w:p>
    <w:p>
      <w:r>
        <w:rPr>
          <w:rFonts w:ascii="Courier New" w:hAnsi="Courier New"/>
          <w:sz w:val="17"/>
        </w:rPr>
        <w:t xml:space="preserve">6.    Nase    38</w:t>
      </w:r>
    </w:p>
    <w:p>
      <w:r>
        <w:rPr>
          <w:rFonts w:ascii="Courier New" w:hAnsi="Courier New"/>
          <w:sz w:val="17"/>
        </w:rPr>
        <w:t xml:space="preserve">7.    Mundhöhle, Rachenraum und obere Luftwege    38</w:t>
      </w:r>
    </w:p>
    <w:p>
      <w:r>
        <w:rPr>
          <w:rFonts w:ascii="Courier New" w:hAnsi="Courier New"/>
          <w:sz w:val="17"/>
        </w:rPr>
        <w:t xml:space="preserve">8.    Brustkorb, tiefere Atemwege und Lungen    43</w:t>
      </w:r>
    </w:p>
    <w:p>
      <w:r>
        <w:rPr>
          <w:rFonts w:ascii="Courier New" w:hAnsi="Courier New"/>
          <w:sz w:val="17"/>
        </w:rPr>
        <w:t xml:space="preserve">9.    Herz und Kreislauf    46</w:t>
      </w:r>
    </w:p>
    <w:p>
      <w:r>
        <w:rPr>
          <w:rFonts w:ascii="Courier New" w:hAnsi="Courier New"/>
          <w:sz w:val="17"/>
        </w:rPr>
        <w:t xml:space="preserve">10.    Verdauungsorgane    52</w:t>
      </w:r>
    </w:p>
    <w:p>
      <w:r>
        <w:rPr>
          <w:rFonts w:ascii="Courier New" w:hAnsi="Courier New"/>
          <w:sz w:val="17"/>
        </w:rPr>
        <w:t xml:space="preserve">11.    Brüche (Hernien)    62</w:t>
      </w:r>
    </w:p>
    <w:p>
      <w:r>
        <w:rPr>
          <w:rFonts w:ascii="Courier New" w:hAnsi="Courier New"/>
          <w:sz w:val="17"/>
        </w:rPr>
        <w:t xml:space="preserve">12.    Harnorgane    63</w:t>
      </w:r>
    </w:p>
    <w:p>
      <w:r>
        <w:rPr>
          <w:rFonts w:ascii="Courier New" w:hAnsi="Courier New"/>
          <w:sz w:val="17"/>
        </w:rPr>
        <w:t xml:space="preserve">13.    Männliche Geschlechtsorgane    68</w:t>
      </w:r>
    </w:p>
    <w:p>
      <w:r>
        <w:rPr>
          <w:rFonts w:ascii="Courier New" w:hAnsi="Courier New"/>
          <w:sz w:val="17"/>
        </w:rPr>
        <w:t xml:space="preserve">14.    Weibliche Geschlechtsorgane    70</w:t>
      </w:r>
    </w:p>
    <w:p>
      <w:r>
        <w:rPr>
          <w:rFonts w:ascii="Courier New" w:hAnsi="Courier New"/>
          <w:sz w:val="17"/>
        </w:rPr>
        <w:t xml:space="preserve">15.    Stoffwechsel, innere Sekretion    73</w:t>
      </w:r>
    </w:p>
    <w:p>
      <w:r>
        <w:rPr>
          <w:rFonts w:ascii="Courier New" w:hAnsi="Courier New"/>
          <w:sz w:val="17"/>
        </w:rPr>
        <w:t xml:space="preserve">16.    Blut, blutbildende Organe, Immunsystem    76</w:t>
      </w:r>
    </w:p>
    <w:p>
      <w:r>
        <w:rPr>
          <w:rFonts w:ascii="Courier New" w:hAnsi="Courier New"/>
          <w:sz w:val="17"/>
        </w:rPr>
        <w:t xml:space="preserve">17.    Haut    81</w:t>
      </w:r>
    </w:p>
    <w:p>
      <w:r>
        <w:rPr>
          <w:rFonts w:ascii="Courier New" w:hAnsi="Courier New"/>
          <w:sz w:val="17"/>
        </w:rPr>
        <w:t xml:space="preserve">18.    Haltungs- und Bewegungsorgane, rheumatische Krankheiten    85</w:t>
      </w:r>
    </w:p>
    <w:p>
      <w:r>
        <w:rPr>
          <w:rFonts w:ascii="Courier New" w:hAnsi="Courier New"/>
          <w:sz w:val="17"/>
        </w:rPr>
        <w:t xml:space="preserve">Teil C: Begutachtung im Sozialen Entschädigungsrecht</w:t>
      </w:r>
    </w:p>
    <w:p>
      <w:r>
        <w:rPr>
          <w:rFonts w:ascii="Courier New" w:hAnsi="Courier New"/>
          <w:sz w:val="17"/>
        </w:rPr>
        <w:t xml:space="preserve">1.    Grundsätze zur Begutachtung im Sozialen Entschädigungsrecht    </w:t>
      </w:r>
    </w:p>
    <w:p>
      <w:r>
        <w:rPr>
          <w:rFonts w:ascii="Courier New" w:hAnsi="Courier New"/>
          <w:sz w:val="17"/>
        </w:rPr>
        <w:t xml:space="preserve">2.    Tatsachen für die Begutachtung des ursächlichen Zusammenhangs    </w:t>
      </w:r>
    </w:p>
    <w:p>
      <w:r>
        <w:rPr>
          <w:rFonts w:ascii="Courier New" w:hAnsi="Courier New"/>
          <w:sz w:val="17"/>
        </w:rPr>
        <w:t xml:space="preserve">3.    Ursächlicher Zusammenhang    </w:t>
      </w:r>
    </w:p>
    <w:p>
      <w:r>
        <w:rPr>
          <w:rFonts w:ascii="Courier New" w:hAnsi="Courier New"/>
          <w:sz w:val="17"/>
        </w:rPr>
        <w:t xml:space="preserve">4.    Kann-Versorgung    </w:t>
      </w:r>
    </w:p>
    <w:p>
      <w:r>
        <w:rPr>
          <w:rFonts w:ascii="Courier New" w:hAnsi="Courier New"/>
          <w:sz w:val="17"/>
        </w:rPr>
        <w:t xml:space="preserve">5.    Anerkennung der Schädigungsfolge im Sinne der Entstehung und Anerkennung der Schädigungsfolge im Sinne der Verschlimmerung    </w:t>
      </w:r>
    </w:p>
    <w:p>
      <w:r>
        <w:rPr>
          <w:rFonts w:ascii="Courier New" w:hAnsi="Courier New"/>
          <w:sz w:val="17"/>
        </w:rPr>
        <w:t xml:space="preserve">6.    Bestimmung des Grades der Schädigungsfolgen    </w:t>
      </w:r>
    </w:p>
    <w:p>
      <w:r>
        <w:rPr>
          <w:rFonts w:ascii="Courier New" w:hAnsi="Courier New"/>
          <w:sz w:val="17"/>
        </w:rPr>
        <w:t xml:space="preserve">7.    Folgeschaden    </w:t>
      </w:r>
    </w:p>
    <w:p>
      <w:r>
        <w:rPr>
          <w:rFonts w:ascii="Courier New" w:hAnsi="Courier New"/>
          <w:sz w:val="17"/>
        </w:rPr>
        <w:t xml:space="preserve">8.    Folgen von medizinischen Maßnahmen    </w:t>
      </w:r>
    </w:p>
    <w:p>
      <w:r>
        <w:rPr>
          <w:rFonts w:ascii="Courier New" w:hAnsi="Courier New"/>
          <w:sz w:val="17"/>
        </w:rPr>
        <w:t xml:space="preserve">9.    Absichtlich herbeigeführte Gesundheitsstörungen    </w:t>
      </w:r>
    </w:p>
    <w:p>
      <w:r>
        <w:rPr>
          <w:rFonts w:ascii="Courier New" w:hAnsi="Courier New"/>
          <w:sz w:val="17"/>
        </w:rPr>
        <w:t xml:space="preserve">10.    Ursächlicher Zusammenhang zwischen Schädigungsfolge und Tod    </w:t>
      </w:r>
    </w:p>
    <w:p>
      <w:r>
        <w:rPr>
          <w:rFonts w:ascii="Courier New" w:hAnsi="Courier New"/>
          <w:sz w:val="17"/>
        </w:rPr>
        <w:t xml:space="preserve">Teil D: Merkzeichen</w:t>
      </w:r>
    </w:p>
    <w:p>
      <w:r>
        <w:rPr>
          <w:rFonts w:ascii="Courier New" w:hAnsi="Courier New"/>
          <w:sz w:val="17"/>
        </w:rPr>
        <w:t xml:space="preserve">1.    Erhebliche Beeinträchtigung der Bewegungsfähigkeit im Straßenverkehr (Merkzeichen G)    114</w:t>
      </w:r>
    </w:p>
    <w:p>
      <w:r>
        <w:rPr>
          <w:rFonts w:ascii="Courier New" w:hAnsi="Courier New"/>
          <w:sz w:val="17"/>
        </w:rPr>
        <w:t xml:space="preserve">2.    Berechtigung für eine ständige Begleitung (Merkzeichen B)    115</w:t>
      </w:r>
    </w:p>
    <w:p>
      <w:r>
        <w:rPr>
          <w:rFonts w:ascii="Courier New" w:hAnsi="Courier New"/>
          <w:sz w:val="17"/>
        </w:rPr>
        <w:t xml:space="preserve">3.    (aufgehoben)    115</w:t>
      </w:r>
    </w:p>
    <w:p>
      <w:r>
        <w:rPr>
          <w:rFonts w:ascii="Courier New" w:hAnsi="Courier New"/>
          <w:sz w:val="17"/>
        </w:rPr>
        <w:t xml:space="preserve">4.    Gehörlosigkeit (Merkzeichen Gl)    116</w:t>
      </w:r>
    </w:p>
    <w:p>
      <w:r>
        <w:t xml:space="preserve">Teil A: Gemeinsame Grundsätze</w:t>
      </w:r>
    </w:p>
    <w:p>
      <w:r>
        <w:t xml:space="preserve">Vorbemerkung</w:t>
      </w:r>
    </w:p>
    <w:p>
      <w:r>
        <w:t xml:space="preserve">Diese Verordnung geht von einem Verständnis von Behinderung aus, das sich aus dem Übereinkommen über die Rechte von Menschen mit Behinderungen ableitet und sich in § 2 des Neunten Buches Sozialgesetzbuch widerspiegelt. Danach entsteht eine Behinderung aus der Wechselwirkung von langfristigen körperlichen, seelischen, geistigen oder Sinnesbeeinträchtigungen mit verschiedenen Barrieren. Dadurch können Menschen an der vollen, wirksamen und gleichberechtigten Teilhabe an der Gesellschaft gehindert werden[1] (Artikel 1 Satz 2 der UN-Konvention über die Rechte von Menschen mit Behinderungen).</w:t>
      </w:r>
    </w:p>
    <w:p>
      <w:r>
        <w:t xml:space="preserve">Die im Folgenden verwendeten Begriffe orientieren sich an den Definitionen der Internationalen Klassifikationen der Weltgesundheitsorganisation (Internationale statistische Klassifikation der Krankheiten und verwandter Gesundheitsprobleme – ICD, Internationale Klassifikation der Funktionsfähigkeit, Behinderung und Gesundheit – ICF), die sich ergänzen.</w:t>
      </w:r>
    </w:p>
    <w:p>
      <w:r>
        <w:t xml:space="preserve">Als Maß für die Teilhabebeeinträchtigung wird in den neu gefassten Teilen dieser Verordnung einheitlich die Abkürzung GdB verwendet, in den noch nicht überarbeiteten Teilen einheitlich die Abkürzung GdS.</w:t>
      </w:r>
    </w:p>
    <w:p>
      <w:r>
        <w:t xml:space="preserve">1 Wenn im Folgenden von Teilhabe gesprochen wird, ist damit immer die volle, wirksame und gleichberechtigte Teilhabe an der Gesellschaft gemeint.</w:t>
      </w:r>
    </w:p>
    <w:p>
      <w:r>
        <w:t xml:space="preserve">1. Grad der Behinderung (GdB), Grad der Schädigungsfolgen (GdS)</w:t>
      </w:r>
    </w:p>
    <w:p>
      <w:r>
        <w:t xml:space="preserve">1.1 Der Grad der Behinderung (GdB) gibt die nach Zehnergraden von 10 bis 100 abgestufte Beeinträchtigung der Teilhabe unabhängig von der Ursache der Gesundheitsstörung wieder (finale Betrachtungsweise). Der Grad der Schädigungsfolgen (GdS) gibt die nach Zehnergraden von 10 bis 100 abgestufte Beeinträchtigung der Teilhabe durch die Schädigungsfolge wieder (kausale Betrachtungsweise). Als Schädigungsfolge wird im Sozialen Entschädigungsrecht jede Gesundheitsstörung bezeichnet, die in ursächlichem Zusammenhang mit einem schädigenden Ereignis steht. Zu den Schädigungsfolgen gehören auch Gesundheitsstörungen, die keine Teilhabebeeinträchtigung mit einem GdS von mindestens 10 bedingen. Alle die Teilhabe beeinträchtigenden körperlichen, geistigen, seelischen und Sinnesbeeinträchtigungen sind zu berücksichtigen. Die in Teil B genannten GdB bzw. GdS sind Anhaltswerte. Die Beurteilungsspannen tragen den Besonderheiten des Einzelfalles Rechnung.</w:t>
      </w:r>
    </w:p>
    <w:p>
      <w:r>
        <w:t xml:space="preserve">1.2 GdB und GdS werden nach den gleichen Grundsätzen bemessen. Beide Begriffe haben die Auswirkungen von Teilhabebeeinträchtigungen in allen Lebensbereichen und nicht nur im allgemeinen Erwerbsleben zum Inhalt. Sie setzen voraus, dass der Gesundheitszustand von dem für das Lebensalter typischen Zustand abweicht und dadurch die Teilhabe mit hoher Wahrscheinlichkeit länger als sechs Monate (dauerhaft) beeinträchtigt ist.</w:t>
      </w:r>
    </w:p>
    <w:p>
      <w:r>
        <w:t xml:space="preserve">1.3 Die in Teil B genannten GdB stellen alters-, geschlechts- und trainingsunabhängige typische Werte dar. Sie wurden teilhabeorientiert auf der Grundlage des aktuellen Standes der medizinischen Wissenschaft und der Medizintechnik unter Berücksichtigung versorgungsmedizinischer Erfordernisse festgelegt (§ 153a des Neunten Buches Sozialgesetzbuch). Sie berücksichtigen bereits:</w:t>
      </w:r>
    </w:p>
    <w:p>
      <w:r>
        <w:t xml:space="preserve">1.3.1 Störungen des psychischen Befindens und einzelne psychische Symptome als Begleiterscheinungen von Gesundheitsstörungen. Sind die psychischen Begleiterscheinungen erheblich höher, als aufgrund der körperlichen Veränderungen zu erwarten wäre, und erfüllen sie die Kriterien einer eigenständigen Diagnose aus der ICD, liegt eine Komorbidität vor. Diese ist getrennt zu ermitteln und im Rahmen der Bildung des Gesamt-GdB nach Nummer 3.3 zu bewerten.</w:t>
      </w:r>
    </w:p>
    <w:p>
      <w:r>
        <w:t xml:space="preserve">1.3.2 die üblichen Schmerzen als Symptom einer Gewebeschädigung oder Gewebeerkrankung. Dies schließt auch erfahrungsgemäß besonders schmerzhafte Zustände mit ein. Sind die Schmerzen erheblich höher, als aufgrund der körperlichen Veränderungen zu erwarten wäre, und erfüllen sie die Kriterien einer eigenständigen Diagnose aus der ICD, liegt eine Komorbidität vor. Diese ist getrennt zu ermitteln und im Rahmen der Bildung des Gesamt-GdB nach Nummer 3.3 zu bewerten. Wenn der Schmerz Leitsymptom einer psychischen Störung ist, ist die durch den Schmerz verursachte Teilhabebeeinträchtigung im GdB für die psychische Störung enthalten.</w:t>
      </w:r>
    </w:p>
    <w:p>
      <w:r>
        <w:t xml:space="preserve">1.3.3 eine Beeinträchtigung des äußeren Erscheinungsbildes, soweit in Teil B nicht anders angegeben. Sind die psychischen Begleiterscheinungen erheblich höher, als aufgrund der Beeinträchtigung des äußeren Erscheinungsbildes zu erwarten wäre, ist Nummer 1.3.1 zu berücksichtigen.</w:t>
      </w:r>
    </w:p>
    <w:p>
      <w:r>
        <w:t xml:space="preserve">1.3.4 die typischerweise mit der Behandlung einhergehenden Folgen oder Begleiterscheinungen. Bei außergewöhnlichen Folgen oder Begleiterscheinungen der Behandlung ist ein höherer GdB gerechtfertigt.</w:t>
      </w:r>
    </w:p>
    <w:p>
      <w:r>
        <w:t xml:space="preserve">1.4 Je nach Einzelfall kann von den in Teil B genannten GdB mit einer die besonderen Gegebenheiten darstellenden Begründung abgewichen werden.</w:t>
      </w:r>
    </w:p>
    <w:p>
      <w:r>
        <w:t xml:space="preserve">1.5 Aus dem GdB ist nicht auf das Ausmaß der Leistungsfähigkeit zu schließen. Individuell neben der Gesundheitsstörung vorliegende Gegebenheiten wie zum Beispiel der ausgeübte oder angestrebte Beruf sowie die Wohnsituation sind nicht zu berücksichtigen.</w:t>
      </w:r>
    </w:p>
    <w:p>
      <w:r>
        <w:t xml:space="preserve">1.6 Bei Gesundheitsstörungen, die in Teil B nicht genannt sind, ist die Teilhabebeeinträchtigung in Analogie zu dort genannten vergleichbaren Gesundheitsstörungen zu bewerten.</w:t>
      </w:r>
    </w:p>
    <w:p>
      <w:r>
        <w:t xml:space="preserve">1.7 Bei Gesundheitsstörungen mit einer im Verlauf typischerweise unterschiedlich stark ausgeprägten Teilhabebeeinträchtigung ist als GdB ein Wert festzusetzen, der die Beeinträchtigungen in ihrem Verlauf am ehesten abbildet. Bei abklingenden Gesundheitsstörungen ist für den GdB der Wert festzusetzen, der der über sechs Monate hinaus (dauerhaft) verbliebenen oder voraussichtlich verbleibenden Teilhabebeeinträchtigung entspricht.</w:t>
      </w:r>
    </w:p>
    <w:p>
      <w:r>
        <w:t xml:space="preserve">1.8 Zukünftig zu erwartende Funktionsbeeinträchtigungen sind nicht zu berücksichtigen. Jedoch sind innerhalb von sechs Monaten mit sehr hoher Wahrscheinlichkeit schnell voranschreitende Teilhabebeeinträchtigungen wie in Teil B angegeben zu berücksichtigen.</w:t>
      </w:r>
    </w:p>
    <w:p>
      <w:r>
        <w:t xml:space="preserve">1.9 Stirbt ein Antragsteller oder eine Antragstellerin innerhalb von sechs Monaten nach Eintritt einer Gesundheitsstörung, so ist für diese Gesundheitsstörung der GdB anzusetzen, der nach ärztlicher Erfahrung nach Ablauf von sechs Monaten nach Eintritt der Gesundheitsstörung zu erwarten gewesen wäre. Fallen Eintritt der Gesundheitsstörung und Tod zusammen, kann ein GdB nicht angenommen werden. Eintritt der Gesundheitsstörung und Tod fallen nicht nur dann zusammen, wenn beide Ereignisse im selben Augenblick eintreten, sondern auch dann, wenn die Gesundheitsstörung in so rascher Entwicklung zum Tode führt, dass der Eintritt der Gesundheitsstörung und des Todes einen untrennbaren Vorgang darstellen.</w:t>
      </w:r>
    </w:p>
    <w:p>
      <w:r>
        <w:t xml:space="preserve">2. Heilungsbewährung</w:t>
      </w:r>
    </w:p>
    <w:p>
      <w:r>
        <w:t xml:space="preserve">2.1 Heilungsbewährung ist ein begrenzter Zeitraum, der nach Behandlung von Gesundheitsstörungen (insbesondere bösartigen Neubildungen und Transplantationen innerer Organe) abgewartet werden muss, um den Behandlungserfolg beurteilen zu können.</w:t>
      </w:r>
    </w:p>
    <w:p>
      <w:r>
        <w:t xml:space="preserve">2.2 Während der Heilungsbewährung wird der GdB in Anbetracht der Ungewissheit über den künftigen Verlauf pauschal höher bewertet als es aus der bloßen Funktionsbeeinträchtigung und damit auch dem Körperschaden folgen würde. Dadurch wird die damit einhergehende Teilhabebeeinträchtigung gewürdigt, ohne dass sie im Einzelnen nachgewiesen sein muss. Nach Ablauf des Zeitraums der Heilungsbewährung wird bei rezidivfreiem bzw. im Fall von Transplantationen innerer Organe üblichem Verlauf die dann noch bestehende Teilhabebeeinträchtigung unter Beachtung von Teil B berücksichtigt. Die pauschale Bewertung während der Heilungsbewährung entfällt. Die Heilungsbewährung beginnt erneut, wenn ein Rezidiv aufgetreten ist und kurativ behandelt wurde oder eine Re-Transplantation durchgeführt wurde.</w:t>
      </w:r>
    </w:p>
    <w:p>
      <w:r>
        <w:t xml:space="preserve">2.3 Der GdB beträgt bei bösartigen Neubildungen und Transplantation innerer Organe im Allgemeinen mindestens 50, in höheren Krankheitsstadien und bei aufwendigeren Transplantationen im Allgemeinen 80, soweit in Teil B nicht anders angegeben.</w:t>
      </w:r>
    </w:p>
    <w:p>
      <w:r>
        <w:t xml:space="preserve">2.4 Der Zeitraum der Heilungsbewährung beträgt in der Regel fünf Jahre, soweit in Teil B nicht anders angegeben.</w:t>
      </w:r>
    </w:p>
    <w:p>
      <w:r>
        <w:t xml:space="preserve">2.5 Maßgeblicher Bezugspunkt für den Beginn der Heilungsbewährung ist der Zeitpunkt der Transplantation bzw. der Zeitpunkt, an dem die bösartige Neubildung durch Operation oder andere Primärtherapie als beseitigt angesehen werden kann. Eine zusätzliche adjuvante Therapie hat keinen Einfluss auf den Beginn der Heilungsbewährung. Für andere Gesundheitsstörungen ist der maßgebliche Bezugspunkt für den Beginn der Heilungsbewährung in Teil B angegeben.</w:t>
      </w:r>
    </w:p>
    <w:p>
      <w:r>
        <w:t xml:space="preserve">2.6 Ein Carcinoma in situ rechtfertigt grundsätzlich kein Abwarten einer Heilungsbewährung, soweit in Teil B nicht anders angegeben.</w:t>
      </w:r>
    </w:p>
    <w:p>
      <w:r>
        <w:t xml:space="preserve">3. Bildung des GdB bei Vorliegen mehrerer Gesundheitsstörungen</w:t>
      </w:r>
    </w:p>
    <w:p>
      <w:r>
        <w:t xml:space="preserve">3.1 Der GdB als Maß für die Teilhabebeeinträchtigung soll zuerst für die in Teil B genannten Funktionssysteme ermittelt werden. Liegen mehrere Gesundheitsstörungen in einem Funktionssystem vor, ist der GdB für das Funktionssystem in seiner Gesamtheit zu ermitteln. Hierbei gelten die Regelungen für die Bildung des Gesamt-GdB entsprechend.</w:t>
      </w:r>
    </w:p>
    <w:p>
      <w:r>
        <w:t xml:space="preserve">3.2 Liegen Beeinträchtigungen der Teilhabe aufgrund der Störung mehrerer Funktionssysteme vor, geht die im GdB für das Funktionssystem in seiner Gesamtheit ermittelte Teilhabebeeinträchtigung in den Gesamt-GdB ein. Dabei ist von der Teilhabebeeinträchtigung auszugehen, die den höchsten Einzel-GdB bedingt. Unter Berücksichtigung ihrer wechselseitigen Beziehungen zueinander ist zu prüfen, ob und inwieweit die aus einer weiteren Gesundheitsstörung folgende Teilhabebeeinträchtigung das Ausmaß der Gesamtbeeinträchtigung wesentlich verstärkt, also eine Erhöhung des Gesamt-GdB um mindestens 10 bewirkt. Berechnungsmethoden wie zum Beispiel Addition oder Mittelung sind nicht zulässig.</w:t>
      </w:r>
    </w:p>
    <w:p>
      <w:r>
        <w:t xml:space="preserve">3.3 Um das Ausmaß der Gesamtbeeinträchtigung der Teilhabe zu beurteilen, muss aus der gutachterlichen Gesamtschau heraus beachtet werden, dass verschiedene Funktionsbeeinträchtigungen sich wechselseitig in unterschiedlicher Weise beeinflussen können:</w:t>
      </w:r>
    </w:p>
    <w:p>
      <w:r>
        <w:t xml:space="preserve">3.3.1 Eine Funktionsbeeinträchtigung kann sich auf eine andere besonders nachteilig auswirken. Dies hat in der Regel eine erhöhte Teilhabebeeinträchtigung zur Folge.</w:t>
      </w:r>
    </w:p>
    <w:p>
      <w:r>
        <w:t xml:space="preserve">3.3.2 Die Auswirkungen der einzelnen Funktionsbeeinträchtigungen können voneinander unabhängig sein und damit ganz verschiedene Bereiche des täglichen Lebens betreffen. Dies hat häufig eine erhöhte Teilhabebeeinträchtigung zur Folge.</w:t>
      </w:r>
    </w:p>
    <w:p>
      <w:r>
        <w:t xml:space="preserve">3.3.3 Die Auswirkungen von Funktionsbeeinträchtigungen können sich teilweise überschneiden. Dies kann eine erhöhte Teilhabebeeinträchtigung zur Folge haben.</w:t>
      </w:r>
    </w:p>
    <w:p>
      <w:r>
        <w:t xml:space="preserve">3.3.4 Die Auswirkungen von Funktionsbeeinträchtigungen können sich vollständig überschneiden. Dies hat in der Regel keine erhöhte Teilhabebeeinträchtigung zur Folge.</w:t>
      </w:r>
    </w:p>
    <w:p>
      <w:r>
        <w:t xml:space="preserve">3.4 Die in Teil B genannten Werte sind bei der Bildung des Gesamt-GdB als Vergleich heranzuziehen.</w:t>
      </w:r>
    </w:p>
    <w:p>
      <w:r>
        <w:t xml:space="preserve">3.5 Von Ausnahmefällen abgesehen, führen zusätzliche leichte Funktionsbeeinträchtigungen, die nur einen GdB von 10 bedingen, nicht zu einer Zunahme des Ausmaßes der Gesamtbeeinträchtigung, auch dann nicht, wenn mehrere derartige leichte Funktionsbeeinträchtigungen nebeneinander bestehen. Auch bei leichten Funktionsbeeinträchtigungen mit einem GdB von 20 ist es vielfach nicht gerechtfertigt, auf eine wesentliche Zunahme des Ausmaßes der Teilhabebeeinträchtigung zu schließen. Dies ist jedoch in jedem Fall zu prüfen.</w:t>
      </w:r>
    </w:p>
    <w:p>
      <w:pPr>
        <w:ind w:left="420"/>
      </w:pPr>
      <w:r>
        <w:t xml:space="preserve">4. Hilflosigkeit</w:t>
      </w:r>
    </w:p>
    <w:p>
      <w:pPr>
        <w:ind w:left="780"/>
      </w:pPr>
      <w:r>
        <w:t xml:space="preserve">a) (weggefallen)</w:t>
      </w:r>
    </w:p>
    <w:p>
      <w:pPr>
        <w:ind w:left="780"/>
      </w:pPr>
      <w:r>
        <w:t xml:space="preserve">b) Hilflos sind diejenigen, die infolge von Gesundheitsstörungen - nach dem Neunten Buch Sozialgesetzbuch (SGB I X) und dem Einkommensteuergesetz „nicht nur vorübergehend" - für eine Reihe von häufig und regelmäßig wiederkehrenden Verrichtungen zur Sicherung ihrer persönlichen Existenz im Ablauf eines jeden Tages fremder Hilfe dauernd bedürfen. Diese Voraussetzungen sind auch erfüllt, wenn die Hilfe in Form einer Überwachung oder einer Anleitung zu den genannten Verrichtungen erforderlich ist oder wenn die Hilfe zwar nicht dauernd geleistet werden muss, jedoch eine ständige Bereitschaft zur Hilfeleistung erforderlich ist.</w:t>
      </w:r>
    </w:p>
    <w:p>
      <w:pPr>
        <w:ind w:left="780"/>
      </w:pPr>
      <w:r>
        <w:t xml:space="preserve">c) Häufig und regelmäßig wiederkehrende Verrichtungen zur Sicherung der persönlichen Existenz im Ablauf eines jeden Tages sind insbesondere An- und Auskleiden, Nahrungsaufnahme, Körperpflege, Verrichten der Notdurft. Außerdem sind notwendige körperliche Bewegung, geistige Anregung und Möglichkeiten zur Kommunikation zu berücksichtigen. Hilflosigkeit liegt im oben genannten Sinne auch dann vor, wenn ein psychisch oder geistig behinderter Mensch zwar bei zahlreichen Verrichtungen des täglichen Lebens der Hilfe nicht unmittelbar bedarf, er diese Verrichtungen aber infolge einer Antriebsschwäche ohne ständige Überwachung nicht vornähme. Die ständige Bereitschaft ist z. B. anzunehmen, wenn Hilfe häufig und plötzlich wegen akuter Lebensgefahr notwendig ist.</w:t>
      </w:r>
    </w:p>
    <w:p>
      <w:pPr>
        <w:ind w:left="780"/>
      </w:pPr>
      <w:r>
        <w:t xml:space="preserve">d) Der Umfang der notwendigen Hilfe bei den häufig und regelmäßig wiederkehrenden Verrichtungen muss erheblich sein. Dies ist der Fall, wenn die Hilfe dauernd für zahlreiche Verrichtungen, die häufig und regelmäßig wiederkehren, benötigt wird. Einzelne Verrichtungen, selbst wenn sie lebensnotwendig sind und im täglichen Lebensablauf wiederholt vorgenommen werden, genügen nicht (z. B. Hilfe beim Anziehen einzelner Bekleidungsstücke, notwendige Begleitung bei Reisen und Spaziergängen, Hilfe im Straßenverkehr, einfache Wund- oder Heilbehandlung, Hilfe bei Heimdialyse ohne Notwendigkeit weiterer Hilfeleistung). Verrichtungen, die mit der Pflege der Person nicht unmittelbar zusammenhängen (z. B. im Bereich der hauswirtschaftlichen Versorgung) müssen außer Betracht bleiben.</w:t>
      </w:r>
    </w:p>
    <w:p>
      <w:pPr>
        <w:ind w:left="780"/>
      </w:pPr>
      <w:r>
        <w:t xml:space="preserve">e) Bei einer Reihe schwerer Behinderungen, die aufgrund ihrer Art und besonderen Auswirkungen regelhaft Hilfeleistungen in erheblichem Umfang erfordern, kann im Allgemeinen ohne nähere Prüfung angenommen werden, dass die Voraussetzungen für das Vorliegen von Hilflosigkeit erfüllt sind. Dies gilt stets</w:t>
      </w:r>
    </w:p>
    <w:p>
      <w:pPr>
        <w:ind w:left="1140"/>
      </w:pPr>
      <w:r>
        <w:t xml:space="preserve">aa) bei Blindheit und hochgradiger Sehbehinderung,</w:t>
      </w:r>
    </w:p>
    <w:p>
      <w:pPr>
        <w:ind w:left="1140"/>
      </w:pPr>
      <w:r>
        <w:t xml:space="preserve">bb) Querschnittslähmung und anderen Behinderungen, die auf Dauer und ständig - auch innerhalb des Wohnraums - die Benutzung eines Rollstuhls erfordern,</w:t>
      </w:r>
    </w:p>
    <w:p>
      <w:pPr>
        <w:ind w:left="780"/>
      </w:pPr>
      <w:r>
        <w:t xml:space="preserve">f) in der Regel auch</w:t>
      </w:r>
    </w:p>
    <w:p>
      <w:pPr>
        <w:ind w:left="1140"/>
      </w:pPr>
      <w:r>
        <w:t xml:space="preserve">aa) bei Hirnschäden, Anfallsleiden, geistiger Behinderung und Psychosen, wenn diese Behinderungen allein einen GdS von 100 bedingen,</w:t>
      </w:r>
    </w:p>
    <w:p>
      <w:pPr>
        <w:ind w:left="1140"/>
      </w:pPr>
      <w:r>
        <w:t xml:space="preserve">bb) Verlust von zwei oder mehr Gliedmaßen, ausgenommen Unterschenkel- oder Fußamputation beiderseits. (Als Verlust einer Gliedmaße gilt der Verlust mindestens der ganzen Hand oder des ganzen Fußes).</w:t>
      </w:r>
    </w:p>
    <w:p>
      <w:pPr>
        <w:ind w:left="780"/>
      </w:pPr>
      <w:r>
        <w:t xml:space="preserve">g) Führt eine Behinderung zu dauerndem Krankenlager, so sind stets auch die Voraussetzungen für die Annahme von Hilflosigkeit erfüllt. Dauerndes Krankenlager setzt nicht voraus, dass der behinderte Mensch das Bett überhaupt nicht verlassen kann.</w:t>
      </w:r>
    </w:p>
    <w:p>
      <w:pPr>
        <w:ind w:left="780"/>
      </w:pPr>
      <w:r>
        <w:t xml:space="preserve">h) Stirbt ein behinderter Mensch innerhalb von sechs Monaten nach Eintritt einer Gesundheitsstörung, so ist die Frage der Hilflosigkeit analog Nummer 2 Buchstabe g zu beurteilen.</w:t>
      </w:r>
    </w:p>
    <w:p>
      <w:pPr>
        <w:ind w:left="420"/>
      </w:pPr>
      <w:r>
        <w:t xml:space="preserve">5. Besonderheiten der Beurteilung der Hilflosigkeit bei Kindern und Jugendlichen</w:t>
      </w:r>
    </w:p>
    <w:p>
      <w:pPr>
        <w:ind w:left="780"/>
      </w:pPr>
      <w:r>
        <w:t xml:space="preserve">a) Bei der Beurteilung der Hilflosigkeit bei Kindern und Jugendlichen sind nicht nur die bei der Hilflosigkeit genannten „Verrichtungen" zu beachten. Auch die Anleitung zu diesen „Verrichtungen", die Förderung der körperlichen und geistigen Entwicklung (z. B. durch Anleitung im Gebrauch der Gliedmaßen oder durch Hilfen zum Erfassen der Umwelt und zum Erlernen der Sprache) sowie die notwendige Überwachung gehören zu den Hilfeleistungen, die für die Frage der Hilflosigkeit von Bedeutung sind.</w:t>
      </w:r>
    </w:p>
    <w:p>
      <w:pPr>
        <w:ind w:left="780"/>
      </w:pPr>
      <w:r>
        <w:t xml:space="preserve">b) Stets ist nur der Teil der Hilfsbedürftigkeit zu berücksichtigen, der wegen der Behinderung den Umfang der Hilfsbedürftigkeit eines gesunden gleichaltrigen Kindes überschreitet. Der Umfang der wegen der Behinderungen notwendigen zusätzlichen Hilfeleistungen muss erheblich sein. Bereits im ersten Lebensjahr können infolge der Behinderung Hilfeleistungen in solchem Umfang erforderlich sein, dass dadurch die Voraussetzungen für die Annahme von Hilflosigkeit erfüllt sind.</w:t>
      </w:r>
    </w:p>
    <w:p>
      <w:pPr>
        <w:ind w:left="780"/>
      </w:pPr>
      <w:r>
        <w:t xml:space="preserve">c) Die Besonderheiten des Kindesalters führen dazu, dass zwischen dem Ausmaß der Behinderung und dem Umfang der wegen der Behinderung erforderlichen Hilfeleistungen nicht immer eine Korrelation besteht, so dass - anders als bei Erwachsenen - auch schon bei niedrigerem GdS Hilflosigkeit vorliegen kann.</w:t>
      </w:r>
    </w:p>
    <w:p>
      <w:pPr>
        <w:ind w:left="780"/>
      </w:pPr>
      <w:r>
        <w:t xml:space="preserve">d) Bei angeborenen oder im Kindesalter aufgetretenen Behinderungen ist im Einzelnen folgendes zu beachten:</w:t>
      </w:r>
    </w:p>
    <w:p>
      <w:pPr>
        <w:ind w:left="1140"/>
      </w:pPr>
      <w:r>
        <w:t xml:space="preserve">aa) Bei geistiger Behinderung kommt häufig auch bei einem GdS unter 100 - und dann in der Regel bis zur Vollendung des 18. Lebensjahres - Hilflosigkeit in Betracht, insbesondere wenn das Kind wegen gestörten Verhaltens ständiger Überwachung bedarf. Hilflosigkeit kann auch schon im Säuglingsalter angenommen werden, z. B. durch Nachweis eines schweren Hirnschadens.</w:t>
      </w:r>
    </w:p>
    <w:p>
      <w:pPr>
        <w:ind w:left="1140"/>
      </w:pPr>
      <w:r>
        <w:t xml:space="preserve">bb) Bei tief greifenden Entwicklungsstörungen, die für sich allein einen GdS von mindestens 50 bedingen, und bei anderen gleich schweren, im Kindesalter beginnenden Verhaltens- und emotionalen Störungen mit lang andauernden erheblichen Einordnungsschwierigkeiten ist regelhaft Hilflosigkeit bis zum 18. Lebensjahr anzunehmen.</w:t>
      </w:r>
    </w:p>
    <w:p>
      <w:pPr>
        <w:ind w:left="1140"/>
      </w:pPr>
      <w:r>
        <w:t xml:space="preserve">cc) Bei hirnorganischen Anfallsleiden ist häufiger als bei Erwachsenen auch bei einem GdS unter 100 unter Berücksichtigung der Anfallsart, Anfallsfrequenz und eventueller Verhaltensauffälligkeiten die Annahme von Hilflosigkeit gerechtfertigt.</w:t>
      </w:r>
    </w:p>
    <w:p>
      <w:pPr>
        <w:ind w:left="1140"/>
      </w:pPr>
      <w:r>
        <w:t xml:space="preserve">dd) Bei sehbehinderten Kindern und Jugendlichen mit Einschränkungen des Sehvermögens, die für sich allein einen GdS von wenigstens 80 bedingen, ist bis zur Vollendung des 18. Lebensjahres Hilflosigkeit anzunehmen.</w:t>
      </w:r>
    </w:p>
    <w:p>
      <w:pPr>
        <w:ind w:left="1140"/>
      </w:pPr>
      <w:r>
        <w:t xml:space="preserve">ee) Bei Taubheit und an Taubheit grenzender Schwerhörigkeit ist Hilflosigkeit ab Beginn der Frühförderung und dann - insbesondere wegen des in dieser Zeit erhöhten Kommunikationsbedarfs - in der Regel bis zur Beendigung der Ausbildung anzunehmen. Zur Ausbildung zählen in diesem Zusammenhang: der Schul-, Fachschul- und Hochschulbesuch, eine berufliche Erstausbildung und Weiterbildung sowie vergleichbare Maßnahmen der beruflichen Bildung.</w:t>
      </w:r>
    </w:p>
    <w:p>
      <w:pPr>
        <w:ind w:left="1140"/>
      </w:pPr>
      <w:r>
        <w:t xml:space="preserve">ff) Bei Lippen-Kiefer-Gaumenspalte und kompletter Gaumensegelspalte ist bis zum Abschluss der Erstbehandlung (in der Regel ein Jahr nach der Operation) Hilflosigkeit anzunehmen. Die Kinder benötigen während dieser Zeit in hohem Maße Hilfeleistungen, die weit über diejenigen eines gesunden gleichaltrigen Kindes hinausgehen, vor allem bei der Nahrungsaufnahme (gestörte Atmung, Gefahr des Verschluckens), bei der Reinigung der Mundhöhle und des Nasen-Rachenraumes, beim Spracherwerb sowie bei der Überwachung beim Spielen.</w:t>
      </w:r>
    </w:p>
    <w:p>
      <w:pPr>
        <w:ind w:left="1140"/>
      </w:pPr>
      <w:r>
        <w:t xml:space="preserve">gg) Beim Bronchialasthma schweren Grades ist Hilflosigkeit in der Regel bis zur Vollendung des 16. Lebensjahres anzunehmen.</w:t>
      </w:r>
    </w:p>
    <w:p>
      <w:pPr>
        <w:ind w:left="1140"/>
      </w:pPr>
      <w:r>
        <w:t xml:space="preserve">hh) Bei angeborenen oder in der Kindheit erworbenen Herzschäden ist bei einer schweren Leistungsbeeinträchtigung entsprechend den in Teil B Nummer 9.1.1 angegebenen Gruppen 3 und 4 Hilflosigkeit anzunehmen, und zwar bis zu einer Besserung der Leistungsfähigkeit (z. B. durch Operation), längstens bis zur Vollendung des 16. Lebensjahres.</w:t>
      </w:r>
    </w:p>
    <w:p>
      <w:pPr>
        <w:ind w:left="1140"/>
      </w:pPr>
      <w:r>
        <w:t xml:space="preserve">ii) Bei Behandlung mit künstlicher Niere ist Hilflosigkeit bis zur Vollendung des 16. Lebensjahres anzunehmen. Bei einer Niereninsuffizienz, die für sich allein einen GdS von 100 bedingt, sind Hilfeleistungen in ähnlichem Umfang erforderlich, sodass auch hier bis zur Vollendung des 16. Lebensjahres die Annahme von Hilflosigkeit begründet ist.</w:t>
      </w:r>
    </w:p>
    <w:p>
      <w:pPr>
        <w:ind w:left="1140"/>
      </w:pPr>
      <w:r>
        <w:t xml:space="preserve">jj) Beim Diabetes mellitus ist Hilflosigkeit bis zur Vollendung des 16. Lebensjahres anzunehmen.</w:t>
      </w:r>
    </w:p>
    <w:p>
      <w:pPr>
        <w:ind w:left="1140"/>
      </w:pPr>
      <w:r>
        <w:t xml:space="preserve">kk) Bei Phenylketonurie ist Hilflosigkeit ab Diagnosestellung - in der Regel bis zum 14. Lebensjahr - anzunehmen. Über das 14. Lebensjahr hinaus kommt Hilflosigkeit in der Regel nur noch dann in Betracht, wenn gleichzeitig eine relevante Beeinträchtigung der geistigen Entwicklung vorliegt.</w:t>
      </w:r>
    </w:p>
    <w:p>
      <w:pPr>
        <w:ind w:left="1140"/>
      </w:pPr>
      <w:r>
        <w:t xml:space="preserve">ll) Bei der Mukoviszidose ist bei der Notwendigkeit umfangreicher Betreuungsmaßnahmen - im Allgemeinen bis zur Vollendung des 16. Lebensjahres -Hilflosigkeit anzunehmen. Das ist immer der Fall bei Mukoviszidose, die für sich allein einen GdS von wenigstens 50 bedingt (siehe Teil B Nummer 15.5). Nach Vollendung des 16. Lebensjahres kommt Hilflosigkeit bei schweren und schwersten Einschränkungen bis zur Vollendung des 18. Lebensjahres in Betracht.</w:t>
      </w:r>
    </w:p>
    <w:p>
      <w:pPr>
        <w:ind w:left="1140"/>
      </w:pPr>
      <w:r>
        <w:t xml:space="preserve">mm) Bei malignen Erkrankungen (z. B. akute Leukämie) ist Hilflosigkeit für die Dauer der zytostatischen Intensiv-Therapie anzunehmen.</w:t>
      </w:r>
    </w:p>
    <w:p>
      <w:pPr>
        <w:ind w:left="1140"/>
      </w:pPr>
      <w:r>
        <w:t xml:space="preserve">nn) Bei angeborenen, erworbenen oder therapieinduzierten schweren Immundefekten ist Hilflosigkeit für die Dauer des Immunmangels, der eine ständige Überwachung wegen der Infektionsgefahr erforderlich macht, anzunehmen.</w:t>
      </w:r>
    </w:p>
    <w:p>
      <w:pPr>
        <w:ind w:left="1140"/>
      </w:pPr>
      <w:r>
        <w:t xml:space="preserve">oo) Bei der Hämophilie ist bei Notwendigkeit der Substitutionsbehandlung - und damit schon bei einer Restaktivität von antihämophilem Globulin von 5 % und darunter - stets bis zur Vollendung des 6. Lebensjahres, darüber hinaus häufig je nach Blutungsneigung (zwei oder mehr ausgeprägte Gelenkblutungen pro Jahr) und Reifegrad auch noch weitere Jahre, Hilflosigkeit anzunehmen.</w:t>
      </w:r>
    </w:p>
    <w:p>
      <w:pPr>
        <w:ind w:left="1140"/>
      </w:pPr>
      <w:r>
        <w:t xml:space="preserve">pp) Bei der juvenilen chronischen Polyarthritis ist Hilflosigkeit anzunehmen, solange die Gelenksituation eine ständige Überwachung oder andauernd Hilfestellungen beim Gebrauch der betroffenen Gliedmaßen sowie Anleitungen zu Bewegungsübungen erfordert, in der Regel bis zur Vollendung des 16. Lebensjahres. Bei der systemischen Verlaufsform (Still-Syndrom) und anderen systemischen Bindegewebskrankheiten (z.B. Lupus erythematodes, Sharp-Syndrom, Dermatomyositis) ist für die Dauer des aktiven Stadiums Hilflosigkeit anzunehmen.</w:t>
      </w:r>
    </w:p>
    <w:p>
      <w:pPr>
        <w:ind w:left="1140"/>
      </w:pPr>
      <w:r>
        <w:t xml:space="preserve">qq) Bei der Osteogenesis imperfecta ist die Hilflosigkeit nicht nur von den Funktionseinschränkungen der Gliedmaßen sondern auch von der Häufigkeit der Knochenbrüche abhängig. In der Regel bedingen zwei oder mehr Knochenbrüche pro Jahr Hilflosigkeit. Hilflosigkeit aufgrund einer solchen Bruchneigung ist solange anzunehmen, bis ein Zeitraum von zwei Jahren ohne Auftreten von Knochenbrüchen abgelaufen ist, längstens jedoch bis zur Vollendung des 16. Lebensjahres.</w:t>
      </w:r>
    </w:p>
    <w:p>
      <w:pPr>
        <w:ind w:left="1140"/>
      </w:pPr>
      <w:r>
        <w:t xml:space="preserve">rr) Bei klinisch gesicherter Typ-I-Allergie gegen schwer vermeidbare Allergene (z.B. bestimmte Nahrungsmittel), bei der aus dem bisherigen Verlauf auf die Gefahr lebensbedrohlicher anaphylaktischer Schocks zu schließen ist, ist Hilflosigkeit - in der Regel bis zum Ende des 12. Lebensjahres - anzunehmen.</w:t>
      </w:r>
    </w:p>
    <w:p>
      <w:pPr>
        <w:ind w:left="1140"/>
      </w:pPr>
      <w:r>
        <w:t xml:space="preserve">ss) Bei der Zöliakie kommt Hilflosigkeit nur ausnahmsweise in Betracht. Der Umfang der notwendigen Hilfeleistungen bei der Zöliakie ist regelmäßig wesentlich geringer als etwa bei Kindern mit Phenylketonurie oder mit Diabetes mellitus.</w:t>
      </w:r>
    </w:p>
    <w:p>
      <w:pPr>
        <w:ind w:left="780"/>
      </w:pPr>
      <w:r>
        <w:t xml:space="preserve">e) Wenn bei Kindern und Jugendlichen Hilflosigkeit festgestellt worden ist, muss bei der Beurteilung der Frage einer wesentlichen Änderung der Verhältnisse Folgendes beachtet werden: Die Voraussetzungen für die Annahme von Hilflosigkeit können nicht nur infolge einer Besserung der Gesundheitsstörungen entfallen, sondern auch dadurch, dass behinderte Jugendliche infolge des Reifungsprozesses - etwa nach Abschluss der Pubertät - ausreichend gelernt haben, die wegen der Behinderung erforderlichen Maßnahmen selbstständig und eigenverantwortlich durchzuführen, die vorher von Hilfspersonen geleistet oder überwacht werden mussten.</w:t>
      </w:r>
    </w:p>
    <w:p>
      <w:pPr>
        <w:ind w:left="420"/>
      </w:pPr>
      <w:r>
        <w:t xml:space="preserve">6. Blindheit und hochgradige Sehbehinderung</w:t>
      </w:r>
    </w:p>
    <w:p>
      <w:pPr>
        <w:ind w:left="780"/>
      </w:pPr>
      <w:r>
        <w:t xml:space="preserve">a) Blind ist ein behinderter Mensch, dem das Augenlicht vollständig fehlt. Als blind ist auch ein behinderter Mensch anzusehen, dessen Sehschärfe auf keinem Auge und auch nicht beidäugig mehr als 0,02 (1/50) beträgt oder wenn andere Störungen des Sehvermögens von einem solchen Schweregrad vorliegen, dass sie dieser Beeinträchtigung der Sehschärfe gleichzustellen sind.</w:t>
      </w:r>
    </w:p>
    <w:p>
      <w:pPr>
        <w:ind w:left="780"/>
      </w:pPr>
      <w:r>
        <w:t xml:space="preserve">b) Eine der Herabsetzung der Sehschärfe auf 0,02 (1/50) oder weniger gleich zusetzende Sehbehinderung liegt nach den Richtlinien der Deutschen Ophthalmologischen Gesellschaft bei folgenden Fallgruppen vor:</w:t>
      </w:r>
    </w:p>
    <w:p>
      <w:pPr>
        <w:ind w:left="1140"/>
      </w:pPr>
      <w:r>
        <w:t xml:space="preserve">aa) bei einer Einengung des Gesichtsfeldes, wenn bei einer Sehschärfe von 0,033 (1/30) oder weniger die Grenze des Restgesichtsfeldes in keiner Richtung mehr als 30° vom Zentrum entfernt ist, wobei Gesichtsfeldreste jenseits von 50° unberücksichtigt bleiben,</w:t>
      </w:r>
    </w:p>
    <w:p>
      <w:pPr>
        <w:ind w:left="1140"/>
      </w:pPr>
      <w:r>
        <w:t xml:space="preserve">bb) bei einer Einengung des Gesichtsfeldes, wenn bei einer Sehschärfe von 0,05 (1/20) oder weniger die Grenze des Restgesichtsfeldes in keiner Richtung mehr als 15° vom Zentrum entfernt ist, wobei Gesichtsfeldreste jenseits von 50° unberücksichtigt bleiben,</w:t>
      </w:r>
    </w:p>
    <w:p>
      <w:pPr>
        <w:ind w:left="1140"/>
      </w:pPr>
      <w:r>
        <w:t xml:space="preserve">cc) bei einer Einengung des Gesichtsfeldes, wenn bei einer Sehschärfe von 0,1 (1/10) oder weniger die Grenze des Restgesichtsfeldes in keiner Richtung mehr als 7,5° vom Zentrum entfernt ist, wobei Gesichtsfeldreste jenseits von 50° unberücksichtigt bleiben,</w:t>
      </w:r>
    </w:p>
    <w:p>
      <w:pPr>
        <w:ind w:left="1140"/>
      </w:pPr>
      <w:r>
        <w:t xml:space="preserve">dd) bei einer Einengung des Gesichtsfeldes, auch bei normaler Sehschärfe, wenn die Grenze der Gesichtsfeldinsel in keiner Richtung mehr als 5° vom Zentrum entfernt ist, wobei Gesichtsfeldreste jenseits von 50° unberücksichtigt bleiben,</w:t>
      </w:r>
    </w:p>
    <w:p>
      <w:pPr>
        <w:ind w:left="1140"/>
      </w:pPr>
      <w:r>
        <w:t xml:space="preserve">ee) bei großen Skotomen im zentralen Gesichtsfeldbereich, wenn die Sehschärfe nicht mehr als 0,1 (1/10) beträgt und im 50°-Gesichtsfeld unterhalb des horizontalen Meridians mehr als die Hälfte ausgefallen ist,</w:t>
      </w:r>
    </w:p>
    <w:p>
      <w:pPr>
        <w:ind w:left="1140"/>
      </w:pPr>
      <w:r>
        <w:t xml:space="preserve">ff) bei homonymen Hemianopsien, wenn die Sehschärfe nicht mehr als 0,1 (1/10) beträgt und das erhaltene Gesichtsfeld in der Horizontalen nicht mehr als 30° Durchmesser besitzt,</w:t>
      </w:r>
    </w:p>
    <w:p>
      <w:pPr>
        <w:ind w:left="1140"/>
      </w:pPr>
      <w:r>
        <w:t xml:space="preserve">gg) bei bitemporalen oder binasalen Hemianopsien, wenn die Sehschärfe nicht mehr als 0,1 (1/10) beträgt und kein Binokularsehen besteht.</w:t>
      </w:r>
    </w:p>
    <w:p>
      <w:pPr>
        <w:ind w:left="780"/>
      </w:pPr>
      <w:r>
        <w:t xml:space="preserve">c) Blind ist auch ein behinderter Mensch mit einem nachgewiesenen vollständigen Ausfall der Sehrinde (Rindenblindheit), nicht aber mit einer visuellen Agnosie oder anderen gnostischen Störungen.</w:t>
      </w:r>
    </w:p>
    <w:p>
      <w:pPr>
        <w:ind w:left="780"/>
      </w:pPr>
      <w:r>
        <w:t xml:space="preserve">d) Für die Feststellung von Hilflosigkeit ist im Übrigen zu prüfen, ob eine hochgradige Sehbehinderung vorliegt. Hochgradig in seiner Sehfähigkeit behindert ist ein Mensch, dessen Sehschärfe auf keinem Auge und auch nicht beidäugig mehr als 0,05 (1/20) beträgt oder wenn andere hinsichtlich des Schweregrades gleich zusetzende Störungen der Sehfunktion vorliegen. Dies ist der Fall, wenn die Einschränkung des Sehvermögens einen GdS von 100 bedingt und noch keine Blindheit vorliegt.</w:t>
      </w:r>
    </w:p>
    <w:p>
      <w:pPr>
        <w:ind w:left="420"/>
      </w:pPr>
      <w:r>
        <w:t xml:space="preserve">7. Wesentliche Änderung der Verhältnisse</w:t>
      </w:r>
    </w:p>
    <w:p>
      <w:pPr>
        <w:ind w:left="780"/>
      </w:pPr>
      <w:r>
        <w:t xml:space="preserve">a) Eine wesentliche Änderung im Ausmaß der Schädigungsfolgen oder der Behinderung liegt nur vor, wenn der veränderte Gesundheitszustand mehr als sechs Monate angehalten hat oder voraussichtlich anhalten wird und die Änderung des GdS wenigstens 10 beträgt. Eine wesentliche Änderung ist auch gegeben, wenn die entscheidenden Voraussetzungen für weitere Leistungen im sozialen Entschädigungsrecht oder für Nachteilsausgleiche für behinderte Menschen erfüllt werden oder entfallen sind.</w:t>
      </w:r>
    </w:p>
    <w:p>
      <w:pPr>
        <w:ind w:left="780"/>
      </w:pPr>
      <w:r>
        <w:t xml:space="preserve">b) Nach Ablauf der Heilungsbewährung ist auch bei gleichbleibenden Symptomen eine Neubewertung des GdS zulässig, weil der Ablauf der Heilungsbewährung eine wesentliche Änderung der Verhältnisse darstellt.</w:t>
      </w:r>
    </w:p>
    <w:p>
      <w:pPr>
        <w:ind w:left="780"/>
      </w:pPr>
      <w:r>
        <w:t xml:space="preserve">c) Bei Beurteilungen im sozialen Entschädigungsrecht ist bei einer Zunahme des Leidensumfangs zusätzlich zu prüfen, ob die Weiterentwicklung noch Folge einer Schädigung ist. Auch bei gleichbleibendem Erscheinungsbild kann eine wesentliche Änderung der gesundheitlichen Verhältnisse vorliegen, wenn sich die schädigungsbedingte Störung, die dem Erscheinungsbild zunächst zugrunde lag, gebessert oder ganz zurückgebildet hat, das Leidensbild jedoch aufgrund neuer Ursachen bestehen geblieben ist („Verschiebung der Wesensgrundlage").</w:t>
      </w:r>
    </w:p>
    <w:p>
      <w:r>
        <w:t xml:space="preserve">Teil B: GdS-Tabelle</w:t>
      </w:r>
    </w:p>
    <w:p>
      <w:pPr>
        <w:ind w:left="420"/>
      </w:pPr>
      <w:r>
        <w:t xml:space="preserve">1. (weggefallen)</w:t>
      </w:r>
    </w:p>
    <w:p>
      <w:pPr>
        <w:ind w:left="420"/>
      </w:pPr>
      <w:r>
        <w:t xml:space="preserve">2. Kopf und Gesicht</w:t>
      </w:r>
    </w:p>
    <w:p>
      <w:r>
        <w:rPr>
          <w:rFonts w:ascii="Courier New" w:hAnsi="Courier New"/>
          <w:sz w:val="17"/>
        </w:rPr>
        <w:t xml:space="preserve">2.1 Narben nach Warzenfortsatzaufmeißelung    0</w:t>
      </w:r>
    </w:p>
    <w:p>
      <w:r>
        <w:rPr>
          <w:rFonts w:ascii="Courier New" w:hAnsi="Courier New"/>
          <w:sz w:val="17"/>
        </w:rPr>
        <w:t xml:space="preserve">Einfache Schädelbrüche ohne Komplikationen im Heilverlauf    0</w:t>
      </w:r>
    </w:p>
    <w:p>
      <w:r>
        <w:rPr>
          <w:rFonts w:ascii="Courier New" w:hAnsi="Courier New"/>
          <w:sz w:val="17"/>
        </w:rPr>
        <w:t xml:space="preserve">Kleinere Knochenlücken, Substanzverluste (auch größere gedeckte) am knöchernen Schädel    0-10</w:t>
      </w:r>
    </w:p>
    <w:p>
      <w:r>
        <w:rPr>
          <w:rFonts w:ascii="Courier New" w:hAnsi="Courier New"/>
          <w:sz w:val="17"/>
        </w:rPr>
        <w:t xml:space="preserve">Schädelnarben am Hirnschädel mit erheblichem Verlust von Knochenmasse ohne Funktionsstörung des Gehirns (einschließlich entstellender Wirkung)    30</w:t>
      </w:r>
    </w:p>
    <w:p>
      <w:r>
        <w:rPr>
          <w:rFonts w:ascii="Courier New" w:hAnsi="Courier New"/>
          <w:sz w:val="17"/>
        </w:rPr>
        <w:t xml:space="preserve">Hierzu gehören insbesondere alle traumatisch entstandenen erheblichen (nicht gedeckten) Substanzverluste am Hirnschädel, die auch das innere Knochenblatt betreffen.    </w:t>
      </w:r>
    </w:p>
    <w:p>
      <w:r>
        <w:rPr>
          <w:rFonts w:ascii="Courier New" w:hAnsi="Courier New"/>
          <w:sz w:val="17"/>
        </w:rPr>
        <w:t xml:space="preserve">Einfache Gesichtsentstellung    </w:t>
      </w:r>
    </w:p>
    <w:p>
      <w:r>
        <w:rPr>
          <w:rFonts w:ascii="Courier New" w:hAnsi="Courier New"/>
          <w:sz w:val="17"/>
        </w:rPr>
        <w:t xml:space="preserve">    nur wenig störend    10</w:t>
      </w:r>
    </w:p>
    <w:p>
      <w:r>
        <w:rPr>
          <w:rFonts w:ascii="Courier New" w:hAnsi="Courier New"/>
          <w:sz w:val="17"/>
        </w:rPr>
        <w:t xml:space="preserve">    sonst    20-30</w:t>
      </w:r>
    </w:p>
    <w:p>
      <w:r>
        <w:rPr>
          <w:rFonts w:ascii="Courier New" w:hAnsi="Courier New"/>
          <w:sz w:val="17"/>
        </w:rPr>
        <w:t xml:space="preserve">Hochgradige Entstellung des Gesichts    50</w:t>
      </w:r>
    </w:p>
    <w:p>
      <w:r>
        <w:rPr>
          <w:rFonts w:ascii="Courier New" w:hAnsi="Courier New"/>
          <w:sz w:val="17"/>
        </w:rPr>
        <w:t xml:space="preserve">2.2 Sensibilitätsstörungen im Gesichtsbereich    </w:t>
      </w:r>
    </w:p>
    <w:p>
      <w:r>
        <w:rPr>
          <w:rFonts w:ascii="Courier New" w:hAnsi="Courier New"/>
          <w:sz w:val="17"/>
        </w:rPr>
        <w:t xml:space="preserve">    leicht    0-10</w:t>
      </w:r>
    </w:p>
    <w:p>
      <w:r>
        <w:rPr>
          <w:rFonts w:ascii="Courier New" w:hAnsi="Courier New"/>
          <w:sz w:val="17"/>
        </w:rPr>
        <w:t xml:space="preserve">    ausgeprägt, den oralen Bereich einschließend    20-30</w:t>
      </w:r>
    </w:p>
    <w:p>
      <w:r>
        <w:rPr>
          <w:rFonts w:ascii="Courier New" w:hAnsi="Courier New"/>
          <w:sz w:val="17"/>
        </w:rPr>
        <w:t xml:space="preserve">Gesichtsneuralgien (z. B. Trigeminusneuralgie)    </w:t>
      </w:r>
    </w:p>
    <w:p>
      <w:r>
        <w:rPr>
          <w:rFonts w:ascii="Courier New" w:hAnsi="Courier New"/>
          <w:sz w:val="17"/>
        </w:rPr>
        <w:t xml:space="preserve">    leicht (seltene, leichte Schmerzen)    0-10</w:t>
      </w:r>
    </w:p>
    <w:p>
      <w:r>
        <w:rPr>
          <w:rFonts w:ascii="Courier New" w:hAnsi="Courier New"/>
          <w:sz w:val="17"/>
        </w:rPr>
        <w:t xml:space="preserve">    mittelgradig    </w:t>
      </w:r>
    </w:p>
    <w:p>
      <w:r>
        <w:rPr>
          <w:rFonts w:ascii="Courier New" w:hAnsi="Courier New"/>
          <w:sz w:val="17"/>
        </w:rPr>
        <w:t xml:space="preserve">    (häufigere, leichte bis mittelgradige Schmerzen, schon durch geringe Reize auslösbar)    20-40</w:t>
      </w:r>
    </w:p>
    <w:p>
      <w:r>
        <w:rPr>
          <w:rFonts w:ascii="Courier New" w:hAnsi="Courier New"/>
          <w:sz w:val="17"/>
        </w:rPr>
        <w:t xml:space="preserve">    schwer    </w:t>
      </w:r>
    </w:p>
    <w:p>
      <w:r>
        <w:rPr>
          <w:rFonts w:ascii="Courier New" w:hAnsi="Courier New"/>
          <w:sz w:val="17"/>
        </w:rPr>
        <w:t xml:space="preserve">    (häufige, mehrmals im Monat auftretende starke Schmerzen bzw. Schmerzattacken)    50-60</w:t>
      </w:r>
    </w:p>
    <w:p>
      <w:r>
        <w:rPr>
          <w:rFonts w:ascii="Courier New" w:hAnsi="Courier New"/>
          <w:sz w:val="17"/>
        </w:rPr>
        <w:t xml:space="preserve">    besonders schwer    </w:t>
      </w:r>
    </w:p>
    <w:p>
      <w:r>
        <w:rPr>
          <w:rFonts w:ascii="Courier New" w:hAnsi="Courier New"/>
          <w:sz w:val="17"/>
        </w:rPr>
        <w:t xml:space="preserve">    (starker Dauerschmerz oder Schmerzattacken mehrmals wöchentlich)    70-80</w:t>
      </w:r>
    </w:p>
    <w:p>
      <w:r>
        <w:rPr>
          <w:rFonts w:ascii="Courier New" w:hAnsi="Courier New"/>
          <w:sz w:val="17"/>
        </w:rPr>
        <w:t xml:space="preserve">2.3 Echte Migräne    </w:t>
      </w:r>
    </w:p>
    <w:p>
      <w:r>
        <w:rPr>
          <w:rFonts w:ascii="Courier New" w:hAnsi="Courier New"/>
          <w:sz w:val="17"/>
        </w:rPr>
        <w:t xml:space="preserve">je nach Häufigkeit und Dauer der Anfälle und Ausprägung der Begleiterscheinungen.    </w:t>
      </w:r>
    </w:p>
    <w:p>
      <w:r>
        <w:rPr>
          <w:rFonts w:ascii="Courier New" w:hAnsi="Courier New"/>
          <w:sz w:val="17"/>
        </w:rPr>
        <w:t xml:space="preserve">    leichte Verlaufsform    </w:t>
      </w:r>
    </w:p>
    <w:p>
      <w:r>
        <w:rPr>
          <w:rFonts w:ascii="Courier New" w:hAnsi="Courier New"/>
          <w:sz w:val="17"/>
        </w:rPr>
        <w:t xml:space="preserve">    (Anfälle durchschnittlich einmal monatlich)    0-10</w:t>
      </w:r>
    </w:p>
    <w:p>
      <w:r>
        <w:rPr>
          <w:rFonts w:ascii="Courier New" w:hAnsi="Courier New"/>
          <w:sz w:val="17"/>
        </w:rPr>
        <w:t xml:space="preserve">    mittelgradige Verlaufsform    </w:t>
      </w:r>
    </w:p>
    <w:p>
      <w:r>
        <w:rPr>
          <w:rFonts w:ascii="Courier New" w:hAnsi="Courier New"/>
          <w:sz w:val="17"/>
        </w:rPr>
        <w:t xml:space="preserve">    (häufigere Anfälle, jeweils einen oder mehrere Tage anhaltend)    20-40</w:t>
      </w:r>
    </w:p>
    <w:p>
      <w:r>
        <w:rPr>
          <w:rFonts w:ascii="Courier New" w:hAnsi="Courier New"/>
          <w:sz w:val="17"/>
        </w:rPr>
        <w:t xml:space="preserve">    schwere Verlaufsform    </w:t>
      </w:r>
    </w:p>
    <w:p>
      <w:r>
        <w:rPr>
          <w:rFonts w:ascii="Courier New" w:hAnsi="Courier New"/>
          <w:sz w:val="17"/>
        </w:rPr>
        <w:t xml:space="preserve">    (lang andauernde Anfälle mit stark ausgeprägten Begleiterscheinungen, Anfallspausen von nur wenigen Tagen)    50-60</w:t>
      </w:r>
    </w:p>
    <w:p>
      <w:r>
        <w:rPr>
          <w:rFonts w:ascii="Courier New" w:hAnsi="Courier New"/>
          <w:sz w:val="17"/>
        </w:rPr>
        <w:t xml:space="preserve">2.4 Periphere Fazialisparese    </w:t>
      </w:r>
    </w:p>
    <w:p>
      <w:r>
        <w:rPr>
          <w:rFonts w:ascii="Courier New" w:hAnsi="Courier New"/>
          <w:sz w:val="17"/>
        </w:rPr>
        <w:t xml:space="preserve">einseitig    </w:t>
      </w:r>
    </w:p>
    <w:p>
      <w:r>
        <w:rPr>
          <w:rFonts w:ascii="Courier New" w:hAnsi="Courier New"/>
          <w:sz w:val="17"/>
        </w:rPr>
        <w:t xml:space="preserve">    kosmetisch nur wenig störende Restparese    0-10</w:t>
      </w:r>
    </w:p>
    <w:p>
      <w:r>
        <w:rPr>
          <w:rFonts w:ascii="Courier New" w:hAnsi="Courier New"/>
          <w:sz w:val="17"/>
        </w:rPr>
        <w:t xml:space="preserve">    ausgeprägtere Restparese oder Kontrakturen    20-30</w:t>
      </w:r>
    </w:p>
    <w:p>
      <w:r>
        <w:rPr>
          <w:rFonts w:ascii="Courier New" w:hAnsi="Courier New"/>
          <w:sz w:val="17"/>
        </w:rPr>
        <w:t xml:space="preserve">    komplette Lähmung oder ausgeprägte Kontraktur    40</w:t>
      </w:r>
    </w:p>
    <w:p>
      <w:r>
        <w:rPr>
          <w:rFonts w:ascii="Courier New" w:hAnsi="Courier New"/>
          <w:sz w:val="17"/>
        </w:rPr>
        <w:t xml:space="preserve">beidseitig komplette Lähmung    50</w:t>
      </w:r>
    </w:p>
    <w:p>
      <w:pPr>
        <w:ind w:left="420"/>
      </w:pPr>
      <w:r>
        <w:t xml:space="preserve">3. Nervensystem und Psyche 3.1 Hirnschäden</w:t>
      </w:r>
    </w:p>
    <w:p>
      <w:pPr>
        <w:ind w:left="780"/>
      </w:pPr>
      <w:r>
        <w:t xml:space="preserve">a) Ein Hirnschaden ist nachgewiesen, wenn Symptome einer organischen Veränderung des Gehirns - nach Verletzung oder Krankheit nach dem Abklingen der akuten Phase - festgestellt worden sind. Wenn bei späteren Untersuchungen keine hirnorganischen Funktionsstörungen und Leistungsbeeinträchtigungen mehr zu erkennen sind beträgt der GdS dann - auch unter Einschluss geringer z. B. vegetativer Beschwerden - 20; nach offenen Hirnverletzungen nicht unter 30.</w:t>
      </w:r>
    </w:p>
    <w:p>
      <w:pPr>
        <w:ind w:left="780"/>
      </w:pPr>
      <w:r>
        <w:t xml:space="preserve">b) Bestimmend für die Beurteilung des GdS ist das Ausmaß der bleibenden Ausfallserscheinungen. Dabei sind der neurologische Befund, die Ausfallserscheinungen im psychischen Bereich unter Würdigung der prämorbiden Persönlichkeit und ggf. das Auftreten von zerebralen Anfällen zu beachten. Bei der Mannigfaltigkeit der Folgezustände von Hirnschädigungen kommt ein GdS zwischen 20 und 100 in Betracht.</w:t>
      </w:r>
    </w:p>
    <w:p>
      <w:pPr>
        <w:ind w:left="780"/>
      </w:pPr>
      <w:r>
        <w:t xml:space="preserve">c) Bei Kindern ist zu berücksichtigen, dass sich die Auswirkungen eines Hirnschadens abhängig vom Reifungsprozess sehr verschieden (Besserung oder Verschlechterung) entwickeln können, so dass in der Regel Nachprüfungen in Abständen von wenigen Jahren angezeigt sind.</w:t>
      </w:r>
    </w:p>
    <w:p>
      <w:pPr>
        <w:ind w:left="780"/>
      </w:pPr>
      <w:r>
        <w:t xml:space="preserve">d) Bei einem mit Ventil versorgten Hydrozephalus ist ein GdS von wenigstens 30 anzusetzen.</w:t>
      </w:r>
    </w:p>
    <w:p>
      <w:pPr>
        <w:ind w:left="780"/>
      </w:pPr>
      <w:r>
        <w:t xml:space="preserve">e) Nicht nur vorübergehende vegetative Störungen nach Gehirnerschütterung (reversible und morphologisch nicht nachweisbare Funktionsstörung des Gesamthirns) rechtfertigen im ersten Jahr nach dem Unfall einen GdS von 10 bis 20.</w:t>
      </w:r>
    </w:p>
    <w:p>
      <w:r>
        <w:t xml:space="preserve">Bei der folgenden GdS-Tabelle der Hirnschäden soll die unter Nummer 3.1.1 genannte Gesamtbewertung im Vordergrund stehen. Die unter Nummer 3.1.2 angeführten isoliert vorkommenden bzw. führenden Syndrome stellen eine ergänzende Hilfe zur Beurteilung dar.</w:t>
      </w:r>
    </w:p>
    <w:p>
      <w:r>
        <w:rPr>
          <w:rFonts w:ascii="Courier New" w:hAnsi="Courier New"/>
          <w:sz w:val="17"/>
        </w:rPr>
        <w:t xml:space="preserve">3.1.1 Grundsätze der Gesamtbewertung von Hirnschäden    </w:t>
      </w:r>
    </w:p>
    <w:p>
      <w:r>
        <w:rPr>
          <w:rFonts w:ascii="Courier New" w:hAnsi="Courier New"/>
          <w:sz w:val="17"/>
        </w:rPr>
        <w:t xml:space="preserve">Hirnschäden mit geringer Leistungsbeeinträchtigung    30-40</w:t>
      </w:r>
    </w:p>
    <w:p>
      <w:r>
        <w:rPr>
          <w:rFonts w:ascii="Courier New" w:hAnsi="Courier New"/>
          <w:sz w:val="17"/>
        </w:rPr>
        <w:t xml:space="preserve">Hirnschäden mit mittelschwerer Leistungsbeeinträchtigung    50-60</w:t>
      </w:r>
    </w:p>
    <w:p>
      <w:r>
        <w:rPr>
          <w:rFonts w:ascii="Courier New" w:hAnsi="Courier New"/>
          <w:sz w:val="17"/>
        </w:rPr>
        <w:t xml:space="preserve">Hirnschäden mit schwerer Leistungsbeeinträchtigung    70-100</w:t>
      </w:r>
    </w:p>
    <w:p>
      <w:r>
        <w:rPr>
          <w:rFonts w:ascii="Courier New" w:hAnsi="Courier New"/>
          <w:sz w:val="17"/>
        </w:rPr>
        <w:t xml:space="preserve">3.1.2 Bewertung von Hirnschäden mit isoliert vorkommenden bzw. führenden Syndromen    </w:t>
      </w:r>
    </w:p>
    <w:p>
      <w:r>
        <w:rPr>
          <w:rFonts w:ascii="Courier New" w:hAnsi="Courier New"/>
          <w:sz w:val="17"/>
        </w:rPr>
        <w:t xml:space="preserve">(bei Begutachtungen im sozialen Entschädigungsrecht auch zur Feststellung der Schwerstbeschädigtenzulage)    </w:t>
      </w:r>
    </w:p>
    <w:p>
      <w:r>
        <w:rPr>
          <w:rFonts w:ascii="Courier New" w:hAnsi="Courier New"/>
          <w:sz w:val="17"/>
        </w:rPr>
        <w:t xml:space="preserve">Hirnschäden mit psychischen Störungen    </w:t>
      </w:r>
    </w:p>
    <w:p>
      <w:r>
        <w:rPr>
          <w:rFonts w:ascii="Courier New" w:hAnsi="Courier New"/>
          <w:sz w:val="17"/>
        </w:rPr>
        <w:t xml:space="preserve">    leicht (im Alltag sich gering auswirkend)    30-40</w:t>
      </w:r>
    </w:p>
    <w:p>
      <w:r>
        <w:rPr>
          <w:rFonts w:ascii="Courier New" w:hAnsi="Courier New"/>
          <w:sz w:val="17"/>
        </w:rPr>
        <w:t xml:space="preserve">    mittelgradig (im Alltag sich deutlich auswirkend)    50-60</w:t>
      </w:r>
    </w:p>
    <w:p>
      <w:r>
        <w:rPr>
          <w:rFonts w:ascii="Courier New" w:hAnsi="Courier New"/>
          <w:sz w:val="17"/>
        </w:rPr>
        <w:t xml:space="preserve">    schwer    70-100</w:t>
      </w:r>
    </w:p>
    <w:p>
      <w:r>
        <w:rPr>
          <w:rFonts w:ascii="Courier New" w:hAnsi="Courier New"/>
          <w:sz w:val="17"/>
        </w:rPr>
        <w:t xml:space="preserve">Zentrale vegetative Störungen als Ausdruck eines Hirndauerschadens (z. B. Störungen des Schlaf-Wach-Rhythmus, der Vasomotorenregulation oder der Schweißregulation)    </w:t>
      </w:r>
    </w:p>
    <w:p>
      <w:r>
        <w:rPr>
          <w:rFonts w:ascii="Courier New" w:hAnsi="Courier New"/>
          <w:sz w:val="17"/>
        </w:rPr>
        <w:t xml:space="preserve">    leicht    30</w:t>
      </w:r>
    </w:p>
    <w:p>
      <w:r>
        <w:rPr>
          <w:rFonts w:ascii="Courier New" w:hAnsi="Courier New"/>
          <w:sz w:val="17"/>
        </w:rPr>
        <w:t xml:space="preserve">    mittelgradig, auch mit vereinzelten synkopalen Anfällen    40</w:t>
      </w:r>
    </w:p>
    <w:p>
      <w:r>
        <w:rPr>
          <w:rFonts w:ascii="Courier New" w:hAnsi="Courier New"/>
          <w:sz w:val="17"/>
        </w:rPr>
        <w:t xml:space="preserve">    mit häufigeren Anfällen oder erheblichen Auswirkungen auf den Allgemeinzustand    50</w:t>
      </w:r>
    </w:p>
    <w:p>
      <w:r>
        <w:rPr>
          <w:rFonts w:ascii="Courier New" w:hAnsi="Courier New"/>
          <w:sz w:val="17"/>
        </w:rPr>
        <w:t xml:space="preserve">Koordinations- und Gleichgewichtsstörungen (spino-) zerebellarer Ursache je nach dem Ausmaß der Störung der Ziel- und Feinmotorik einschließlich der Schwierigkeiten beim Gehen und Stehen    </w:t>
      </w:r>
    </w:p>
    <w:p>
      <w:r>
        <w:rPr>
          <w:rFonts w:ascii="Courier New" w:hAnsi="Courier New"/>
          <w:sz w:val="17"/>
        </w:rPr>
        <w:t xml:space="preserve">(siehe hierzu auch bei Hör- und Gleichgewichtsorgan)    30-100</w:t>
      </w:r>
    </w:p>
    <w:p>
      <w:r>
        <w:rPr>
          <w:rFonts w:ascii="Courier New" w:hAnsi="Courier New"/>
          <w:sz w:val="17"/>
        </w:rPr>
        <w:t xml:space="preserve">Hirnschäden mit kognitiven Leistungsstörungen (z. B. Aphasie, Apraxie, Agnosie)    </w:t>
      </w:r>
    </w:p>
    <w:p>
      <w:r>
        <w:rPr>
          <w:rFonts w:ascii="Courier New" w:hAnsi="Courier New"/>
          <w:sz w:val="17"/>
        </w:rPr>
        <w:t xml:space="preserve">    leicht (z. B. Restaphasie)    30-40</w:t>
      </w:r>
    </w:p>
    <w:p>
      <w:r>
        <w:rPr>
          <w:rFonts w:ascii="Courier New" w:hAnsi="Courier New"/>
          <w:sz w:val="17"/>
        </w:rPr>
        <w:t xml:space="preserve">    mittelgradig (z. B. Aphasie mit deutlicher bis sehr ausgeprägter Kommunikationsstörung)    50-80</w:t>
      </w:r>
    </w:p>
    <w:p>
      <w:r>
        <w:rPr>
          <w:rFonts w:ascii="Courier New" w:hAnsi="Courier New"/>
          <w:sz w:val="17"/>
        </w:rPr>
        <w:t xml:space="preserve">    schwer (z. B. globale Aphasie)    90-100</w:t>
      </w:r>
    </w:p>
    <w:p>
      <w:r>
        <w:rPr>
          <w:rFonts w:ascii="Courier New" w:hAnsi="Courier New"/>
          <w:sz w:val="17"/>
        </w:rPr>
        <w:t xml:space="preserve">Zerebral bedingte Teillähmungen und Lähmungen    </w:t>
      </w:r>
    </w:p>
    <w:p>
      <w:r>
        <w:rPr>
          <w:rFonts w:ascii="Courier New" w:hAnsi="Courier New"/>
          <w:sz w:val="17"/>
        </w:rPr>
        <w:t xml:space="preserve">    leichte Restlähmungen und Tonusstörungen der Gliedmaßen    30</w:t>
      </w:r>
    </w:p>
    <w:p>
      <w:r>
        <w:rPr>
          <w:rFonts w:ascii="Courier New" w:hAnsi="Courier New"/>
          <w:sz w:val="17"/>
        </w:rPr>
        <w:t xml:space="preserve">    bei ausgeprägteren Teillähmungen und vollständigen Lähmungen ist der GdS aus Vergleichen mit dem GdS bei Gliedmaßenverlusten, peripheren Lähmungen und anderen Funktionseinbußen der Gliedmaßen abzuleiten. vollständige Lähmung von Arm und Bein (Hemiplegie)    100</w:t>
      </w:r>
    </w:p>
    <w:p>
      <w:r>
        <w:rPr>
          <w:rFonts w:ascii="Courier New" w:hAnsi="Courier New"/>
          <w:sz w:val="17"/>
        </w:rPr>
        <w:t xml:space="preserve">Parkinson-Syndrom    </w:t>
      </w:r>
    </w:p>
    <w:p>
      <w:r>
        <w:rPr>
          <w:rFonts w:ascii="Courier New" w:hAnsi="Courier New"/>
          <w:sz w:val="17"/>
        </w:rPr>
        <w:t xml:space="preserve">    ein- oder beidseitig, geringe Störung der Bewegungsabläufe, keine Gleichgewichtsstörung, geringe Verlangsamung    30-40</w:t>
      </w:r>
    </w:p>
    <w:p>
      <w:r>
        <w:rPr>
          <w:rFonts w:ascii="Courier New" w:hAnsi="Courier New"/>
          <w:sz w:val="17"/>
        </w:rPr>
        <w:t xml:space="preserve">    deutliche Störung der Bewegungsabläufe, Gleichgewichtsstörungen, Unsicherheit beim Umdrehen, stärkere Verlangsamung    50-70</w:t>
      </w:r>
    </w:p>
    <w:p>
      <w:r>
        <w:rPr>
          <w:rFonts w:ascii="Courier New" w:hAnsi="Courier New"/>
          <w:sz w:val="17"/>
        </w:rPr>
        <w:t xml:space="preserve">    schwere Störung der Bewegungsabläufe bis zur Immobilität    80-100</w:t>
      </w:r>
    </w:p>
    <w:p>
      <w:r>
        <w:rPr>
          <w:rFonts w:ascii="Courier New" w:hAnsi="Courier New"/>
          <w:sz w:val="17"/>
        </w:rPr>
        <w:t xml:space="preserve">Andere extrapyramidale Syndrome - auch mit Hyperkinesen - sind analog nach Art und Umfang der gestörten Bewegungsabläufe und der Möglichkeit ihrer Unterdrückung zu bewerten; bei lokalisierten Störungen (z. B. Torticollis spasmodicus) sind niedrigere GdS als bei generalisierten (z. B. choreatische Syndrome) in Betracht zu ziehen.</w:t>
      </w:r>
    </w:p>
    <w:p>
      <w:r>
        <w:rPr>
          <w:rFonts w:ascii="Courier New" w:hAnsi="Courier New"/>
          <w:sz w:val="17"/>
        </w:rPr>
        <w:t xml:space="preserve">Epileptische Anfälle    </w:t>
      </w:r>
    </w:p>
    <w:p>
      <w:r>
        <w:rPr>
          <w:rFonts w:ascii="Courier New" w:hAnsi="Courier New"/>
          <w:sz w:val="17"/>
        </w:rPr>
        <w:t xml:space="preserve">je nach Art, Schwere, Häufigkeit und tageszeitlicher Verteilung    </w:t>
      </w:r>
    </w:p>
    <w:p>
      <w:r>
        <w:rPr>
          <w:rFonts w:ascii="Courier New" w:hAnsi="Courier New"/>
          <w:sz w:val="17"/>
        </w:rPr>
        <w:t xml:space="preserve">    sehr selten (generalisierte [große] und komplex-fokale Anfälle mit Pausen von mehr als einem Jahr; kleine und einfach-fokale Anfälle mit Pausen von Monaten)    40</w:t>
      </w:r>
    </w:p>
    <w:p>
      <w:r>
        <w:rPr>
          <w:rFonts w:ascii="Courier New" w:hAnsi="Courier New"/>
          <w:sz w:val="17"/>
        </w:rPr>
        <w:t xml:space="preserve">    selten    </w:t>
      </w:r>
    </w:p>
    <w:p>
      <w:r>
        <w:rPr>
          <w:rFonts w:ascii="Courier New" w:hAnsi="Courier New"/>
          <w:sz w:val="17"/>
        </w:rPr>
        <w:t xml:space="preserve">    (generalisierte [große] und komplex-fokale Anfälle mit Pausen von Monaten; kleine und einfach-fokale Anfälle mit Pausen von Wochen)    50-60</w:t>
      </w:r>
    </w:p>
    <w:p>
      <w:r>
        <w:rPr>
          <w:rFonts w:ascii="Courier New" w:hAnsi="Courier New"/>
          <w:sz w:val="17"/>
        </w:rPr>
        <w:t xml:space="preserve">    mittlere Häufigkeit    </w:t>
      </w:r>
    </w:p>
    <w:p>
      <w:r>
        <w:rPr>
          <w:rFonts w:ascii="Courier New" w:hAnsi="Courier New"/>
          <w:sz w:val="17"/>
        </w:rPr>
        <w:t xml:space="preserve">    (generalisierte [große] und komplex-fokale Anfälle mit Pausen von Wochen; kleine und einfach-fokale Anfälle mit Pausen von Tagen)    60-80</w:t>
      </w:r>
    </w:p>
    <w:p>
      <w:r>
        <w:rPr>
          <w:rFonts w:ascii="Courier New" w:hAnsi="Courier New"/>
          <w:sz w:val="17"/>
        </w:rPr>
        <w:t xml:space="preserve">    häufig    </w:t>
      </w:r>
    </w:p>
    <w:p>
      <w:r>
        <w:rPr>
          <w:rFonts w:ascii="Courier New" w:hAnsi="Courier New"/>
          <w:sz w:val="17"/>
        </w:rPr>
        <w:t xml:space="preserve">    (generalisierte [große] oder komplex-fokale Anfälle wöchentlich oder Serien von generalisierten Krampfanfällen, von fokal betonten oder von multifokalen Anfällen; kleine und einfach-fokale Anfälle täglich)    90-100</w:t>
      </w:r>
    </w:p>
    <w:p>
      <w:r>
        <w:rPr>
          <w:rFonts w:ascii="Courier New" w:hAnsi="Courier New"/>
          <w:sz w:val="17"/>
        </w:rPr>
        <w:t xml:space="preserve">    nach drei Jahren Anfallsfreiheit bei weiterer Notwendigkeit antikonvulsiver Behandlung    30</w:t>
      </w:r>
    </w:p>
    <w:p>
      <w:r>
        <w:rPr>
          <w:rFonts w:ascii="Courier New" w:hAnsi="Courier New"/>
          <w:sz w:val="17"/>
        </w:rPr>
        <w:t xml:space="preserve">Ein Anfallsleiden gilt als abgeklungen, wenn ohne Medikation drei Jahre Anfallsfreiheit besteht. Ohne nachgewiesenen Hirnschaden ist dann kein GdS mehr anzunehmen.</w:t>
      </w:r>
    </w:p>
    <w:p>
      <w:r>
        <w:rPr>
          <w:rFonts w:ascii="Courier New" w:hAnsi="Courier New"/>
          <w:sz w:val="17"/>
        </w:rPr>
        <w:t xml:space="preserve">3.2 Narkolepsie</w:t>
      </w:r>
    </w:p>
    <w:p>
      <w:r>
        <w:rPr>
          <w:rFonts w:ascii="Courier New" w:hAnsi="Courier New"/>
          <w:sz w:val="17"/>
        </w:rPr>
        <w:t xml:space="preserve">Je nach Häufigkeit, Ausprägung und Kombination der Symptome (Tagesschläfrigkeit, Schlafattacken, Kataplexien, automatisches Verhalten im Rahmen von Ermüdungserscheinungen, Schlaflähmungen - häufig verbunden mit hypnagogen Halluzinationen) ist im Allgemeinen ein GdS von 50 bis 80 anzusetzen.</w:t>
      </w:r>
    </w:p>
    <w:p>
      <w:r>
        <w:rPr>
          <w:rFonts w:ascii="Courier New" w:hAnsi="Courier New"/>
          <w:sz w:val="17"/>
        </w:rPr>
        <w:t xml:space="preserve">3.3 Hirntumoren</w:t>
      </w:r>
    </w:p>
    <w:p>
      <w:r>
        <w:rPr>
          <w:rFonts w:ascii="Courier New" w:hAnsi="Courier New"/>
          <w:sz w:val="17"/>
        </w:rPr>
        <w:t xml:space="preserve">Der GdS von Hirntumoren ist vor allem von der Art und Dignität und von der Ausdehnung und Lokalisation mit ihren Auswirkungen abhängig.</w:t>
      </w:r>
    </w:p>
    <w:p>
      <w:r>
        <w:rPr>
          <w:rFonts w:ascii="Courier New" w:hAnsi="Courier New"/>
          <w:sz w:val="17"/>
        </w:rPr>
        <w:t xml:space="preserve">Nach der Entfernung gutartiger Tumoren (z. B. Meningeom, Neurinom) richtet sich der GdS allein nach dem verbliebenen Schaden.</w:t>
      </w:r>
    </w:p>
    <w:p>
      <w:r>
        <w:rPr>
          <w:rFonts w:ascii="Courier New" w:hAnsi="Courier New"/>
          <w:sz w:val="17"/>
        </w:rPr>
        <w:t xml:space="preserve">Bei Tumoren wie Oligodendrogliom, Ependymom, Astrozytom II, ist der GdS, wenn eine vollständige Tumorentfernung nicht gesichert ist, nicht niedriger als 50 anzusetzen.</w:t>
      </w:r>
    </w:p>
    <w:p>
      <w:r>
        <w:rPr>
          <w:rFonts w:ascii="Courier New" w:hAnsi="Courier New"/>
          <w:sz w:val="17"/>
        </w:rPr>
        <w:t xml:space="preserve">Bei malignen Tumoren (z. B. Astrozytom III, Glioblastom, Medulloblastom) ist der GdS mit wenigstens 80 zu bewerten.</w:t>
      </w:r>
    </w:p>
    <w:p>
      <w:r>
        <w:rPr>
          <w:rFonts w:ascii="Courier New" w:hAnsi="Courier New"/>
          <w:sz w:val="17"/>
        </w:rPr>
        <w:t xml:space="preserve">Das Abwarten einer Heilungsbewährung (von fünf Jahren) kommt in der Regel nur nach der Entfernung eines malignen Kleinhirntumors des Kindesalters (z. B. Medulloblastom) in Betracht. Der GdS beträgt während dieser Zeit (im Frühstadium) bei geringer Leistungsbeeinträchtigung 50.</w:t>
      </w:r>
    </w:p>
    <w:p>
      <w:r>
        <w:rPr>
          <w:rFonts w:ascii="Courier New" w:hAnsi="Courier New"/>
          <w:sz w:val="17"/>
        </w:rPr>
        <w:t xml:space="preserve">3.4 Beeinträchtigungen der geistigen Leistungsfähigkeit im Kindes- und Jugendalter</w:t>
      </w:r>
    </w:p>
    <w:p>
      <w:r>
        <w:rPr>
          <w:rFonts w:ascii="Courier New" w:hAnsi="Courier New"/>
          <w:sz w:val="17"/>
        </w:rPr>
        <w:t xml:space="preserve">Die GdS-Beurteilung der Beeinträchtigungen der geistigen Entwicklung darf nicht allein vom Ausmaß der Intelligenzminderung und von diesbezüglichen Testergebnissen ausgehen, die immer nur Teile der Behinderung zu einem bestimmten Zeitpunkt erfassen können. Daneben muss stets auch die Persönlichkeitsentwicklung auf affektivem und emotionalem Gebiet, wie auch im Bereich des Antriebs und der Prägung durch die Umwelt mit allen Auswirkungen auf die sozialen Einordnungsmöglichkeiten berücksichtigt werden.</w:t>
      </w:r>
    </w:p>
    <w:p>
      <w:r>
        <w:rPr>
          <w:rFonts w:ascii="Courier New" w:hAnsi="Courier New"/>
          <w:sz w:val="17"/>
        </w:rPr>
        <w:t xml:space="preserve">3.4.1 Entwicklungsstörungen im Kleinkindesalter    </w:t>
      </w:r>
    </w:p>
    <w:p>
      <w:r>
        <w:rPr>
          <w:rFonts w:ascii="Courier New" w:hAnsi="Courier New"/>
          <w:sz w:val="17"/>
        </w:rPr>
        <w:t xml:space="preserve">Die Beurteilung setzt eine standardisierte Befunderhebung mit Durchführung geeigneter Testverfahren voraus (Nachuntersuchung mit Beginn der Schulpflicht). Umschriebene Entwicklungsstörungen in den Bereichen Motorik, Sprache oder Wahrnehmung und Aufmerksamkeit</w:t>
      </w:r>
    </w:p>
    <w:p>
      <w:r>
        <w:rPr>
          <w:rFonts w:ascii="Courier New" w:hAnsi="Courier New"/>
          <w:sz w:val="17"/>
        </w:rPr>
        <w:t xml:space="preserve">    leicht, ohne wesentliche Beeinträchtigung der Gesamtentwicklung    0-10</w:t>
      </w:r>
    </w:p>
    <w:p>
      <w:r>
        <w:rPr>
          <w:rFonts w:ascii="Courier New" w:hAnsi="Courier New"/>
          <w:sz w:val="17"/>
        </w:rPr>
        <w:t xml:space="preserve">    sonst - bis zum Ausgleich -    </w:t>
      </w:r>
    </w:p>
    <w:p>
      <w:r>
        <w:rPr>
          <w:rFonts w:ascii="Courier New" w:hAnsi="Courier New"/>
          <w:sz w:val="17"/>
        </w:rPr>
        <w:t xml:space="preserve">    je nach Beeinträchtigung der Gesamtentwicklung    20-40</w:t>
      </w:r>
    </w:p>
    <w:p>
      <w:r>
        <w:rPr>
          <w:rFonts w:ascii="Courier New" w:hAnsi="Courier New"/>
          <w:sz w:val="17"/>
        </w:rPr>
        <w:t xml:space="preserve">    bei besonders schwerer Ausprägung    50</w:t>
      </w:r>
    </w:p>
    <w:p>
      <w:r>
        <w:rPr>
          <w:rFonts w:ascii="Courier New" w:hAnsi="Courier New"/>
          <w:sz w:val="17"/>
        </w:rPr>
        <w:t xml:space="preserve">Globale Entwicklungsstörungen (Einschränkungen in den Bereichen Sprache und Kommunikation, Wahrnehmung und Spielverhalten, Motorik, Selbständigkeit, soziale Integration)</w:t>
      </w:r>
    </w:p>
    <w:p>
      <w:r>
        <w:rPr>
          <w:rFonts w:ascii="Courier New" w:hAnsi="Courier New"/>
          <w:sz w:val="17"/>
        </w:rPr>
        <w:t xml:space="preserve">je nach Ausmaß der sozialen Einordnungsstörung und der Verhaltensstörung (z. B. Hyperaktivität, Aggressivität)</w:t>
      </w:r>
    </w:p>
    <w:p>
      <w:r>
        <w:rPr>
          <w:rFonts w:ascii="Courier New" w:hAnsi="Courier New"/>
          <w:sz w:val="17"/>
        </w:rPr>
        <w:t xml:space="preserve">    geringe Auswirkungen    30-40</w:t>
      </w:r>
    </w:p>
    <w:p>
      <w:r>
        <w:rPr>
          <w:rFonts w:ascii="Courier New" w:hAnsi="Courier New"/>
          <w:sz w:val="17"/>
        </w:rPr>
        <w:t xml:space="preserve">    starke Auswirkungen    </w:t>
      </w:r>
    </w:p>
    <w:p>
      <w:r>
        <w:rPr>
          <w:rFonts w:ascii="Courier New" w:hAnsi="Courier New"/>
          <w:sz w:val="17"/>
        </w:rPr>
        <w:t xml:space="preserve">    (z. B. Entwicklungsquotient [EQ] von 70 bis über 50)    50-70</w:t>
      </w:r>
    </w:p>
    <w:p>
      <w:r>
        <w:rPr>
          <w:rFonts w:ascii="Courier New" w:hAnsi="Courier New"/>
          <w:sz w:val="17"/>
        </w:rPr>
        <w:t xml:space="preserve">    schwere Auswirkungen (z. B. EQ 50 und weniger)    80-100</w:t>
      </w:r>
    </w:p>
    <w:p>
      <w:r>
        <w:rPr>
          <w:rFonts w:ascii="Courier New" w:hAnsi="Courier New"/>
          <w:sz w:val="17"/>
        </w:rPr>
        <w:t xml:space="preserve">3.4.2 Einschränkung der geistigen Leistungsfähigkeit im Schul- und Jugendalter    </w:t>
      </w:r>
    </w:p>
    <w:p>
      <w:r>
        <w:rPr>
          <w:rFonts w:ascii="Courier New" w:hAnsi="Courier New"/>
          <w:sz w:val="17"/>
        </w:rPr>
        <w:t xml:space="preserve">Kognitive Teilleistungsschwächen (z. B. Lese-Rechtschreib-Schwäche [Legasthenie], isolierte Rechenstörung)    </w:t>
      </w:r>
    </w:p>
    <w:p>
      <w:r>
        <w:rPr>
          <w:rFonts w:ascii="Courier New" w:hAnsi="Courier New"/>
          <w:sz w:val="17"/>
        </w:rPr>
        <w:t xml:space="preserve">    leicht, ohne wesentliche Beeinträchtigung der Schulleistungen    0-10</w:t>
      </w:r>
    </w:p>
    <w:p>
      <w:r>
        <w:rPr>
          <w:rFonts w:ascii="Courier New" w:hAnsi="Courier New"/>
          <w:sz w:val="17"/>
        </w:rPr>
        <w:t xml:space="preserve">    sonst - auch unter Berücksichtigung von Konzentrations- und Aufmerksamkeitsstörungen - bis zum Ausgleich    20-40</w:t>
      </w:r>
    </w:p>
    <w:p>
      <w:r>
        <w:rPr>
          <w:rFonts w:ascii="Courier New" w:hAnsi="Courier New"/>
          <w:sz w:val="17"/>
        </w:rPr>
        <w:t xml:space="preserve">    bei besonders schwerer Ausprägung (selten)    50</w:t>
      </w:r>
    </w:p>
    <w:p>
      <w:r>
        <w:rPr>
          <w:rFonts w:ascii="Courier New" w:hAnsi="Courier New"/>
          <w:sz w:val="17"/>
        </w:rPr>
        <w:t xml:space="preserve">Einschränkung der geistigen Leistungsfähigkeit mit einem Intelligenzrückstand entsprechend einem Intelligenz-Alter (I.A.) von etwa 10 bis 12 Jahren bei Erwachsenen (Intelligenzquotient [IQ] von etwa 70 bis 60)</w:t>
      </w:r>
    </w:p>
    <w:p>
      <w:r>
        <w:rPr>
          <w:rFonts w:ascii="Courier New" w:hAnsi="Courier New"/>
          <w:sz w:val="17"/>
        </w:rPr>
        <w:t xml:space="preserve">    wenn während des Schulbesuchs nur geringe Störungen, insbesondere der Auffassung, der Merkfähigkeit, der psychischen Belastbarkeit, der sozialen Einordnung, des Sprechens, der Sprache, oder anderer kognitiver Teilleistungen vorliegen    30-40</w:t>
      </w:r>
    </w:p>
    <w:p>
      <w:r>
        <w:rPr>
          <w:rFonts w:ascii="Courier New" w:hAnsi="Courier New"/>
          <w:sz w:val="17"/>
        </w:rPr>
        <w:t xml:space="preserve">    wenn sich nach Abschluss der Schule noch eine weitere Bildungsfähigkeit gezeigt hat und keine wesentlichen, die soziale Einordnung erschwerenden Persönlichkeitsstörungen bestehen    30-40</w:t>
      </w:r>
    </w:p>
    <w:p>
      <w:r>
        <w:rPr>
          <w:rFonts w:ascii="Courier New" w:hAnsi="Courier New"/>
          <w:sz w:val="17"/>
        </w:rPr>
        <w:t xml:space="preserve">    wenn ein Ausbildungsberuf unter Nutzung der Sonderregelungen für behinderte Menschen erreicht werden kann    30-40</w:t>
      </w:r>
    </w:p>
    <w:p>
      <w:r>
        <w:rPr>
          <w:rFonts w:ascii="Courier New" w:hAnsi="Courier New"/>
          <w:sz w:val="17"/>
        </w:rPr>
        <w:t xml:space="preserve">    wenn während des Schulbesuchs die oben genannten Störungen stark ausgeprägt sind oder mit einem Schulversagen zu rechnen ist    50-70</w:t>
      </w:r>
    </w:p>
    <w:p>
      <w:r>
        <w:rPr>
          <w:rFonts w:ascii="Courier New" w:hAnsi="Courier New"/>
          <w:sz w:val="17"/>
        </w:rPr>
        <w:t xml:space="preserve">    wenn nach Abschluss der Schule auf eine Beeinträchtigung der Fähigkeit zu selbständiger Lebensführung oder sozialer Einordnung geschlossen werden kann    50-70</w:t>
      </w:r>
    </w:p>
    <w:p>
      <w:r>
        <w:rPr>
          <w:rFonts w:ascii="Courier New" w:hAnsi="Courier New"/>
          <w:sz w:val="17"/>
        </w:rPr>
        <w:t xml:space="preserve">    wenn der behinderte Mensch wegen seiner Behinderung trotz beruflicher Fördermöglichkeiten (z. B. in besonderen Rehabilitationseinrichtungen) nicht in der Lage ist, sich auch unter Nutzung der Sonderregelungen für behinderte Menschen beruflich zu qualifizieren    50-70</w:t>
      </w:r>
    </w:p>
    <w:p>
      <w:r>
        <w:rPr>
          <w:rFonts w:ascii="Courier New" w:hAnsi="Courier New"/>
          <w:sz w:val="17"/>
        </w:rPr>
        <w:t xml:space="preserve">Intelligenzmangel mit stark eingeengter Bildungsfähigkeit, erheblichen Mängeln im Spracherwerb, Intelligenzrückstand entsprechend einem I.A. unter 10 Jahren bei Erwachsenen (IQ unter 60)</w:t>
      </w:r>
    </w:p>
    <w:p>
      <w:r>
        <w:rPr>
          <w:rFonts w:ascii="Courier New" w:hAnsi="Courier New"/>
          <w:sz w:val="17"/>
        </w:rPr>
        <w:t xml:space="preserve">    bei relativ günstiger Persönlichkeitsentwicklung und sozialer Anpassungsmöglichkeit (Teilerfolg in einer Sonderschule, selbständige Lebensführung in einigen Teilbereichen und Einordnung im allgemeinen Erwerbsleben mit einfachen motorischen Fertigkeiten noch möglich)    80-90</w:t>
      </w:r>
    </w:p>
    <w:p>
      <w:r>
        <w:rPr>
          <w:rFonts w:ascii="Courier New" w:hAnsi="Courier New"/>
          <w:sz w:val="17"/>
        </w:rPr>
        <w:t xml:space="preserve">    bei stärkerer Einschränkung der Eingliederungsmöglichkeiten mit hochgradigem Mangel an Selbständigkeit und Bildungsfähigkeit, fehlender Sprachentwicklung, unabhängig von der Arbeitsmarktlage und auf Dauer Beschäftigungsmöglichkeit nur in einer Werkstatt für Behinderte    100</w:t>
      </w:r>
    </w:p>
    <w:p>
      <w:r>
        <w:rPr>
          <w:rFonts w:ascii="Courier New" w:hAnsi="Courier New"/>
          <w:sz w:val="17"/>
        </w:rPr>
        <w:t xml:space="preserve">3.5 Verhaltens- und emotionale Störungen mit Beginn in der Kindheit und Jugend    </w:t>
      </w:r>
    </w:p>
    <w:p>
      <w:r>
        <w:rPr>
          <w:rFonts w:ascii="Courier New" w:hAnsi="Courier New"/>
          <w:sz w:val="17"/>
        </w:rPr>
        <w:t xml:space="preserve">Die Kriterien der Definitionen der ICD 10-GM Version 2011 müssen erfüllt sein. Komorbide psychische Störungen sind gesondert zu berücksichtigen. Eine Behinderung liegt erst ab Beginn der Teilhabebeeinträchtigung vor. Eine pauschale Festsetzung des GdS nach einem bestimmten Lebensalter ist nicht möglich.    </w:t>
      </w:r>
    </w:p>
    <w:p>
      <w:r>
        <w:rPr>
          <w:rFonts w:ascii="Courier New" w:hAnsi="Courier New"/>
          <w:sz w:val="17"/>
        </w:rPr>
        <w:t xml:space="preserve">3.5.1 Tief greifende Entwicklungsstörungen (insbesondere frühkindlicher Autismus, atypischer Autismus, Asperger-Syndrom)Bei tief greifenden Entwicklungsstörungen –ohne soziale Anpassungsschwierigkeiten beträgt der GdS 10–20,–mit leichten sozialen Anpassungsschwierigkeiten beträgt der GdS 30–40,–mit mittleren sozialen Anpassungsschwierigkeiten beträgt der GdS 50–70,–mit schweren sozialen Anpassungsschwierigkeiten beträgt der GdS 80–100.Soziale Anpassungsschwierigkeiten liegen insbesondere vor, wenn die Integrationsfähigkeit in Lebensbereiche (wie zum Beispiel Regel-Kindergarten, Regel-Schule, allgemeiner Arbeitsmarkt, öffentliches Leben, häusliches Leben) nicht ohne besondere Förderung oder Unterstützung (zum Beispiel durch Eingliederungshilfe) gegeben ist oder wenn die Betroffenen einer über das dem jeweiligen Alter entsprechende Maß hinausgehenden Beaufsichtigung bedürfen. Mittlere soziale Anpassungsschwierigkeiten liegen insbesondere vor, wenn die Integration in Lebensbereiche nicht ohne umfassende Unterstützung (zum Beispiel einen Integrationshelfer als Eingliederungshilfe) möglich ist. Schwere soziale Anpassungsschwierigkeiten liegen insbesondere vor, wenn die Integration in Lebensbereiche auch mit umfassender Unterstützung nicht möglich ist.    </w:t>
      </w:r>
    </w:p>
    <w:p>
      <w:r>
        <w:rPr>
          <w:rFonts w:ascii="Courier New" w:hAnsi="Courier New"/>
          <w:sz w:val="17"/>
        </w:rPr>
        <w:t xml:space="preserve">3.5.2 Hyperkinetische Störungen und Aufmerksamkeitsstörungen ohne HyperaktivitätOhne soziale Anpassungsschwierigkeiten liegt keine Teilhabebeeinträchtigung vor.Bei sozialen Anpassungsschwierigkeiten –ohne Auswirkung auf die Integrationsfähigkeit beträgt der GdS 10 – 20.–mit Auswirkungen auf die Integrationsfähigkeit in mehreren Lebensbereichen (wie zum Beispiel Regel-Kindergarten, Regel-Schule, allgemeiner Arbeitsmarkt, öffentliches Leben, häusliches Leben) oder wenn die Betroffenen einer über das dem jeweiligen Alter entsprechende Maß hinausgehenden Beaufsichtigung bedürfen, beträgt der GdS 30 – 40.–mit Auswirkungen, die die Integration in Lebensbereiche nicht ohne umfassende Unterstützung oder umfassende Beaufsichtigung ermöglichen, beträgt der GdS 50 – 70.–mit Auswirkungen, die die Integration in Lebensbereiche auch mit umfassender Unterstützung nicht ermöglichen, beträgt der GdS 80 – 100.Ab dem Alter von 25 Jahren beträgt der GdS regelhaft nicht mehr als 50.    </w:t>
      </w:r>
    </w:p>
    <w:p>
      <w:r>
        <w:rPr>
          <w:rFonts w:ascii="Courier New" w:hAnsi="Courier New"/>
          <w:sz w:val="17"/>
        </w:rPr>
        <w:t xml:space="preserve">3.5.3 Störungen des Sozialverhaltens und Störungen sozialer Funktionen mit Beginn in der Kindheit und Jugend sind je nach Ausmaß der Teilhabebeeinträchtigung, insbesondere der Einschränkung der sozialen Integrationsfähigkeit und dem Betreuungsaufwand, individuell zu bewerten.    </w:t>
      </w:r>
    </w:p>
    <w:p>
      <w:r>
        <w:rPr>
          <w:rFonts w:ascii="Courier New" w:hAnsi="Courier New"/>
          <w:sz w:val="17"/>
        </w:rPr>
        <w:t xml:space="preserve">3.6 Schizophrene und affektive Psychosen    </w:t>
      </w:r>
    </w:p>
    <w:p>
      <w:r>
        <w:rPr>
          <w:rFonts w:ascii="Courier New" w:hAnsi="Courier New"/>
          <w:sz w:val="17"/>
        </w:rPr>
        <w:t xml:space="preserve">Langdauernde (über ein halbes Jahr anhaltende) Psychose im floriden Stadium je nach Einbuße beruflicher und sozialer Anpassungsmöglichkeiten    50-100</w:t>
      </w:r>
    </w:p>
    <w:p>
      <w:r>
        <w:rPr>
          <w:rFonts w:ascii="Courier New" w:hAnsi="Courier New"/>
          <w:sz w:val="17"/>
        </w:rPr>
        <w:t xml:space="preserve">Schizophrener Residualzustand (z. B. Konzentrationsstörung, Kontaktschwäche, Vitalitätseinbuße, affektive Nivellierung) mit geringen und einzelnen Restsymptomen    </w:t>
      </w:r>
    </w:p>
    <w:p>
      <w:r>
        <w:rPr>
          <w:rFonts w:ascii="Courier New" w:hAnsi="Courier New"/>
          <w:sz w:val="17"/>
        </w:rPr>
        <w:t xml:space="preserve">    ohne soziale Anpassungsschwierigkeiten    10-20</w:t>
      </w:r>
    </w:p>
    <w:p>
      <w:r>
        <w:rPr>
          <w:rFonts w:ascii="Courier New" w:hAnsi="Courier New"/>
          <w:sz w:val="17"/>
        </w:rPr>
        <w:t xml:space="preserve">    mit leichten sozialen Anpassungsschwierigkeiten    30-40</w:t>
      </w:r>
    </w:p>
    <w:p>
      <w:r>
        <w:rPr>
          <w:rFonts w:ascii="Courier New" w:hAnsi="Courier New"/>
          <w:sz w:val="17"/>
        </w:rPr>
        <w:t xml:space="preserve">    mit mittelgradigen sozialen Anpassungsschwierigkeiten    50-70</w:t>
      </w:r>
    </w:p>
    <w:p>
      <w:r>
        <w:rPr>
          <w:rFonts w:ascii="Courier New" w:hAnsi="Courier New"/>
          <w:sz w:val="17"/>
        </w:rPr>
        <w:t xml:space="preserve">    mit schweren sozialen Anpassungsschwierigkeiten    80-100</w:t>
      </w:r>
    </w:p>
    <w:p>
      <w:r>
        <w:rPr>
          <w:rFonts w:ascii="Courier New" w:hAnsi="Courier New"/>
          <w:sz w:val="17"/>
        </w:rPr>
        <w:t xml:space="preserve">Affektive Psychose mit relativ kurz andauernden, aber häufig wiederkehrenden Phasen    </w:t>
      </w:r>
    </w:p>
    <w:p>
      <w:r>
        <w:rPr>
          <w:rFonts w:ascii="Courier New" w:hAnsi="Courier New"/>
          <w:sz w:val="17"/>
        </w:rPr>
        <w:t xml:space="preserve">    bei 1 bis 2 Phasen im Jahr von mehrwöchiger Dauer je nach Art und Ausprägung    30-50</w:t>
      </w:r>
    </w:p>
    <w:p>
      <w:r>
        <w:rPr>
          <w:rFonts w:ascii="Courier New" w:hAnsi="Courier New"/>
          <w:sz w:val="17"/>
        </w:rPr>
        <w:t xml:space="preserve">    bei häufigeren Phasen von mehrwöchiger Dauer    60-100</w:t>
      </w:r>
    </w:p>
    <w:p>
      <w:r>
        <w:rPr>
          <w:rFonts w:ascii="Courier New" w:hAnsi="Courier New"/>
          <w:sz w:val="17"/>
        </w:rPr>
        <w:t xml:space="preserve">Nach dem Abklingen lang dauernder psychotischer Episoden ist eine Heilungsbewährung von zwei Jahren abzuwarten.</w:t>
      </w:r>
    </w:p>
    <w:p>
      <w:r>
        <w:rPr>
          <w:rFonts w:ascii="Courier New" w:hAnsi="Courier New"/>
          <w:sz w:val="17"/>
        </w:rPr>
        <w:t xml:space="preserve">GdS während dieser Zeit, wenn bereits mehrere manische oder manische und depressive Phasen vorangegangen sind    50</w:t>
      </w:r>
    </w:p>
    <w:p>
      <w:r>
        <w:rPr>
          <w:rFonts w:ascii="Courier New" w:hAnsi="Courier New"/>
          <w:sz w:val="17"/>
        </w:rPr>
        <w:t xml:space="preserve">sonst        30</w:t>
      </w:r>
    </w:p>
    <w:p>
      <w:r>
        <w:rPr>
          <w:rFonts w:ascii="Courier New" w:hAnsi="Courier New"/>
          <w:sz w:val="17"/>
        </w:rPr>
        <w:t xml:space="preserve">Eine Heilungsbewährung braucht nicht abgewartet zu werden, wenn eine monopolar verlaufene depressive Phase vorgelegen hat, die als erste Krankheitsphase oder erst mehr als zehn Jahre nach einer früheren Krankheitsphase aufgetreten ist.</w:t>
      </w:r>
    </w:p>
    <w:p>
      <w:r>
        <w:rPr>
          <w:rFonts w:ascii="Courier New" w:hAnsi="Courier New"/>
          <w:sz w:val="17"/>
        </w:rPr>
        <w:t xml:space="preserve">3.7 Neurosen, Persönlichkeitsstörungen, Folgen psychischer Traumen    </w:t>
      </w:r>
    </w:p>
    <w:p>
      <w:r>
        <w:rPr>
          <w:rFonts w:ascii="Courier New" w:hAnsi="Courier New"/>
          <w:sz w:val="17"/>
        </w:rPr>
        <w:t xml:space="preserve">Leichtere psychovegetative oder psychische Störungen    0-20</w:t>
      </w:r>
    </w:p>
    <w:p>
      <w:r>
        <w:rPr>
          <w:rFonts w:ascii="Courier New" w:hAnsi="Courier New"/>
          <w:sz w:val="17"/>
        </w:rPr>
        <w:t xml:space="preserve">Stärker behindernde Störungen    </w:t>
      </w:r>
    </w:p>
    <w:p>
      <w:r>
        <w:rPr>
          <w:rFonts w:ascii="Courier New" w:hAnsi="Courier New"/>
          <w:sz w:val="17"/>
        </w:rPr>
        <w:t xml:space="preserve">    mit wesentlicher Einschränkung der Erlebnis- und Gestaltungsfähigkeit    </w:t>
      </w:r>
    </w:p>
    <w:p>
      <w:r>
        <w:rPr>
          <w:rFonts w:ascii="Courier New" w:hAnsi="Courier New"/>
          <w:sz w:val="17"/>
        </w:rPr>
        <w:t xml:space="preserve">    (z. B. ausgeprägtere depressive, hypochondrische, asthenische oder phobische Störungen, Entwicklungen mit Krankheitswert, somatoforme Störungen)    30-40</w:t>
      </w:r>
    </w:p>
    <w:p>
      <w:r>
        <w:rPr>
          <w:rFonts w:ascii="Courier New" w:hAnsi="Courier New"/>
          <w:sz w:val="17"/>
        </w:rPr>
        <w:t xml:space="preserve">Schwere Störungen (z. B. schwere Zwangskrankheit)    </w:t>
      </w:r>
    </w:p>
    <w:p>
      <w:r>
        <w:rPr>
          <w:rFonts w:ascii="Courier New" w:hAnsi="Courier New"/>
          <w:sz w:val="17"/>
        </w:rPr>
        <w:t xml:space="preserve">    mit mittelgradigen sozialen Anpassungsschwierigkeiten    50-70</w:t>
      </w:r>
    </w:p>
    <w:p>
      <w:r>
        <w:rPr>
          <w:rFonts w:ascii="Courier New" w:hAnsi="Courier New"/>
          <w:sz w:val="17"/>
        </w:rPr>
        <w:t xml:space="preserve">    mit schweren sozialen Anpassungsschwierigkeiten    80-100</w:t>
      </w:r>
    </w:p>
    <w:p>
      <w:r>
        <w:rPr>
          <w:rFonts w:ascii="Courier New" w:hAnsi="Courier New"/>
          <w:sz w:val="17"/>
        </w:rPr>
        <w:t xml:space="preserve">3.8 Psychische Störungen und Verhaltensstörungen durch psychotrope Substanzen</w:t>
      </w:r>
    </w:p>
    <w:p>
      <w:r>
        <w:rPr>
          <w:rFonts w:ascii="Courier New" w:hAnsi="Courier New"/>
          <w:sz w:val="17"/>
        </w:rPr>
        <w:t xml:space="preserve">Der schädliche Gebrauch psychotroper Substanzen ohne körperliche oder psychische Schädigung bedingt keinen Grad der Schädigungsfolgen. Die Abhängigkeit von Koffein oder Tabak sowie von Koffein und Tabak bedingt für sich allein in der Regel keine Teilhabebeeinträchtigung.</w:t>
      </w:r>
    </w:p>
    <w:p>
      <w:r>
        <w:rPr>
          <w:rFonts w:ascii="Courier New" w:hAnsi="Courier New"/>
          <w:sz w:val="17"/>
        </w:rPr>
        <w:t xml:space="preserve">Abhängigkeit von psychotropen Substanzen liegt vor, wenn als Folge des chronischen Substanzkonsums mindestens drei der folgenden Kriterien erfüllt sind: –starker Wunsch (Drang), die Substanz zu konsumieren,–verminderte Kontrollfähigkeit (Kontrollverlust) den Konsum betreffend,–Vernachlässigung anderer sozialer Aktivitäten zugunsten des Substanzkonsums,–fortgesetzter Substanzkonsum trotz des Nachweises schädlicher Folgen,–Toleranzentwicklung,–körperliche Entzugssymptome nach Beenden des Substanzkonsums.Es gelten folgende GdS-Werte:</w:t>
      </w:r>
    </w:p>
    <w:p>
      <w:r>
        <w:rPr>
          <w:rFonts w:ascii="Courier New" w:hAnsi="Courier New"/>
          <w:sz w:val="17"/>
        </w:rPr>
        <w:t xml:space="preserve">Bei schädlichem Gebrauch von psychotropen Substanzen mit leichteren psychischen Störungen beträgt der GdS 0–20.</w:t>
      </w:r>
    </w:p>
    <w:p>
      <w:r>
        <w:rPr>
          <w:rFonts w:ascii="Courier New" w:hAnsi="Courier New"/>
          <w:sz w:val="17"/>
        </w:rPr>
        <w:t xml:space="preserve">Bei Abhängigkeit: –mit leichten sozialen Anpassungsschwierigkeiten beträgt der GdS 30–40,–mit mittleren sozialen Anpassungsschwierigkeiten beträgt der GdS 50–70,–mit schweren sozialen Anpassungsschwierigkeiten beträgt der GdS 80–100.</w:t>
      </w:r>
    </w:p>
    <w:p>
      <w:r>
        <w:rPr>
          <w:rFonts w:ascii="Courier New" w:hAnsi="Courier New"/>
          <w:sz w:val="17"/>
        </w:rPr>
        <w:t xml:space="preserve">Ist im Fall einer Abhängigkeit, die zuvor mit einem GdS von mindestens 50 zu bewerten war, Abstinenz erreicht, muss eine Heilungsbewährung von zwei Jahren ab dem Zeitpunkt des Beginns der Abstinenz abgewartet werden. Während dieser Zeit ist ein GdS von 30 anzunehmen, es sei denn, die bleibenden psychischen oder hirnorganischen Störungen rechtfertigen einen höheren GdS. Weitere Organschäden sind unter Beachtung von Teil A Nummer 2 Buchstabe e der Versorgungsmedizinischen Grundsätze zu bewerten.</w:t>
      </w:r>
    </w:p>
    <w:p>
      <w:r>
        <w:rPr>
          <w:rFonts w:ascii="Courier New" w:hAnsi="Courier New"/>
          <w:sz w:val="17"/>
        </w:rPr>
        <w:t xml:space="preserve">Abnorme Gewohnheiten und Störungen der Impulskontrolle sind nach Teil B Nummer 3.7 zu bewerten.</w:t>
      </w:r>
    </w:p>
    <w:p>
      <w:r>
        <w:rPr>
          <w:rFonts w:ascii="Courier New" w:hAnsi="Courier New"/>
          <w:sz w:val="17"/>
        </w:rPr>
        <w:t xml:space="preserve">3.9 Rückenmarkschäden    </w:t>
      </w:r>
    </w:p>
    <w:p>
      <w:r>
        <w:rPr>
          <w:rFonts w:ascii="Courier New" w:hAnsi="Courier New"/>
          <w:sz w:val="17"/>
        </w:rPr>
        <w:t xml:space="preserve">    Unvollständige, leichte Halsmarkschädigung mit beidseits geringen motorischen und sensiblen Ausfällen, ohne Störungen der Blasen- und Mastdarmfunktion    30-60</w:t>
      </w:r>
    </w:p>
    <w:p>
      <w:r>
        <w:rPr>
          <w:rFonts w:ascii="Courier New" w:hAnsi="Courier New"/>
          <w:sz w:val="17"/>
        </w:rPr>
        <w:t xml:space="preserve">    Unvollständige Brustmark-, Lendenmark- oder Kaudaschädigung mit Teillähmung beider Beine, ohne Störungen der Blasen- und Mastdarmfunktion    30-60</w:t>
      </w:r>
    </w:p>
    <w:p>
      <w:r>
        <w:rPr>
          <w:rFonts w:ascii="Courier New" w:hAnsi="Courier New"/>
          <w:sz w:val="17"/>
        </w:rPr>
        <w:t xml:space="preserve">    Unvollständige Brustmark-, Lendenmark- oder Kaudaschädigung mit Teillähmung beider Beine und Störungen der Blasen- und/oder Mastdarmfunktion    60-80</w:t>
      </w:r>
    </w:p>
    <w:p>
      <w:r>
        <w:rPr>
          <w:rFonts w:ascii="Courier New" w:hAnsi="Courier New"/>
          <w:sz w:val="17"/>
        </w:rPr>
        <w:t xml:space="preserve">    Unvollständige Halsmarkschädigung mit gewichtigen Teillähmungen beider Arme und Beine und Störungen der Blasen- und/oder Mastdarmfunktion    100</w:t>
      </w:r>
    </w:p>
    <w:p>
      <w:r>
        <w:rPr>
          <w:rFonts w:ascii="Courier New" w:hAnsi="Courier New"/>
          <w:sz w:val="17"/>
        </w:rPr>
        <w:t xml:space="preserve">    Vollständige Halsmarkschädigung mit vollständiger Lähmung beider Arme und Beine und Störungen der Blasen- und/ oder Mastdarmfunktion    100</w:t>
      </w:r>
    </w:p>
    <w:p>
      <w:r>
        <w:rPr>
          <w:rFonts w:ascii="Courier New" w:hAnsi="Courier New"/>
          <w:sz w:val="17"/>
        </w:rPr>
        <w:t xml:space="preserve">    Vollständige Brustmark-, Lendenmark-, oder Kaudaschädigung mit vollständiger Lähmung der Beine und Störungen der Blasen und/oder Mastdarmfunktion    100</w:t>
      </w:r>
    </w:p>
    <w:p>
      <w:r>
        <w:rPr>
          <w:rFonts w:ascii="Courier New" w:hAnsi="Courier New"/>
          <w:sz w:val="17"/>
        </w:rPr>
        <w:t xml:space="preserve">3.10 Multiple Sklerose    </w:t>
      </w:r>
    </w:p>
    <w:p>
      <w:r>
        <w:rPr>
          <w:rFonts w:ascii="Courier New" w:hAnsi="Courier New"/>
          <w:sz w:val="17"/>
        </w:rPr>
        <w:t xml:space="preserve">Der GdS richtet sich vor allem nach den zerebralen und spinalen Ausfallserscheinungen. Zusätzlich ist die aus dem klinischen Verlauf sich ergebende Krankheitsaktivität zu berücksichtigen.</w:t>
      </w:r>
    </w:p>
    <w:p>
      <w:r>
        <w:rPr>
          <w:rFonts w:ascii="Courier New" w:hAnsi="Courier New"/>
          <w:sz w:val="17"/>
        </w:rPr>
        <w:t xml:space="preserve">3.11 Polyneuropathien    </w:t>
      </w:r>
    </w:p>
    <w:p>
      <w:r>
        <w:rPr>
          <w:rFonts w:ascii="Courier New" w:hAnsi="Courier New"/>
          <w:sz w:val="17"/>
        </w:rPr>
        <w:t xml:space="preserve">Bei den Polyneuropathien ergeben sich die Funktionsbeeinträchtigungen aufgrund motorischer Ausfälle (mit Muskelatrophien), sensibler Störungen oder Kombinationen von beiden. Der GdS motorischer Ausfälle ist in Analogie zu den peripheren Nervenschäden einzuschätzen. Bei den sensiblen Störungen und Schmerzen ist zu berücksichtigen, dass schon leichte Störungen zu Beeinträchtigungen - z. B. bei Feinbewegungen - führen können.</w:t>
      </w:r>
    </w:p>
    <w:p>
      <w:pPr>
        <w:ind w:left="420"/>
      </w:pPr>
      <w:r>
        <w:t xml:space="preserve">4. Sehorgan</w:t>
      </w:r>
    </w:p>
    <w:p>
      <w:r>
        <w:rPr>
          <w:rFonts w:ascii="Courier New" w:hAnsi="Courier New"/>
          <w:sz w:val="17"/>
        </w:rPr>
        <w:t xml:space="preserve">Die Sehbehinderung umfasst alle Störungen des Sehvermögens. Für die Beurteilung ist in erster Linie die korrigierte Sehschärfe maßgebend; daneben sind u. a. Ausfälle des Gesichtsfeldes und des Blickfeldes zu berücksichtigen.</w:t>
      </w:r>
    </w:p>
    <w:p>
      <w:r>
        <w:rPr>
          <w:rFonts w:ascii="Courier New" w:hAnsi="Courier New"/>
          <w:sz w:val="17"/>
        </w:rPr>
        <w:t xml:space="preserve">Die Sehschärfe ist grundsätzlich entsprechend den Empfehlungen der Deutschen Ophthalmologischen Gesellschaft (DOG) nach DIN 58220 zu bestimmen; Abweichungen hiervon sind nur in Ausnahmefällen zulässig (zum Beispiel bei Bettlägerigkeit oder Kleinkindern). Die übrigen Partialfunktionen des Sehvermögens sind nur mit Geräten oder Methoden zu prüfen, die den Empfehlungen der DOG entsprechend eine gutachtenrelevante einwandfreie Beurteilung erlauben.</w:t>
      </w:r>
    </w:p>
    <w:p>
      <w:r>
        <w:rPr>
          <w:rFonts w:ascii="Courier New" w:hAnsi="Courier New"/>
          <w:sz w:val="17"/>
        </w:rPr>
        <w:t xml:space="preserve">Hinsichtlich der Gesichtsfeldbestimmung bedeutet dies, dass zur Feststellung von Gesichtsfeldausfällen nur Ergebnisse der manuellkinetischen Perimetrie entsprechend der Marke Goldmann III/4e verwertet werden dürfen.</w:t>
      </w:r>
    </w:p>
    <w:p>
      <w:r>
        <w:rPr>
          <w:rFonts w:ascii="Courier New" w:hAnsi="Courier New"/>
          <w:sz w:val="17"/>
        </w:rPr>
        <w:t xml:space="preserve">Bei der Beurteilung von Störungen des Sehvermögens ist darauf zu achten, dass der morphologische Befund die Sehstörungen erklärt.</w:t>
      </w:r>
    </w:p>
    <w:p>
      <w:r>
        <w:rPr>
          <w:rFonts w:ascii="Courier New" w:hAnsi="Courier New"/>
          <w:sz w:val="17"/>
        </w:rPr>
        <w:t xml:space="preserve">Die Grundlage für die GdS-Beurteilung bei Herabsetzung der Sehschärfe bildet die „MdE-Tabelle der DOG".</w:t>
      </w:r>
    </w:p>
    <w:p>
      <w:r>
        <w:rPr>
          <w:rFonts w:ascii="Courier New" w:hAnsi="Courier New"/>
          <w:sz w:val="17"/>
        </w:rPr>
        <w:t xml:space="preserve">4.1 Verlust eines Auges mit dauernder, einer Behandlung nicht</w:t>
      </w:r>
    </w:p>
    <w:p>
      <w:r>
        <w:rPr>
          <w:rFonts w:ascii="Courier New" w:hAnsi="Courier New"/>
          <w:sz w:val="17"/>
        </w:rPr>
        <w:t xml:space="preserve">zugänglichen Eiterung der Augenhöhle    40</w:t>
      </w:r>
    </w:p>
    <w:p>
      <w:r>
        <w:rPr>
          <w:rFonts w:ascii="Courier New" w:hAnsi="Courier New"/>
          <w:sz w:val="17"/>
        </w:rPr>
        <w:t xml:space="preserve">4.2 Linsenverlust    </w:t>
      </w:r>
    </w:p>
    <w:p>
      <w:r>
        <w:rPr>
          <w:rFonts w:ascii="Courier New" w:hAnsi="Courier New"/>
          <w:sz w:val="17"/>
        </w:rPr>
        <w:t xml:space="preserve">Linsenverlust korrigiert durch intraokulare Kunstlinse oder Kontaktlinse    </w:t>
      </w:r>
    </w:p>
    <w:p>
      <w:r>
        <w:rPr>
          <w:rFonts w:ascii="Courier New" w:hAnsi="Courier New"/>
          <w:sz w:val="17"/>
        </w:rPr>
        <w:t xml:space="preserve">    Linsenverlust eines Auges    </w:t>
      </w:r>
    </w:p>
    <w:p>
      <w:r>
        <w:rPr>
          <w:rFonts w:ascii="Courier New" w:hAnsi="Courier New"/>
          <w:sz w:val="17"/>
        </w:rPr>
        <w:t xml:space="preserve">        Sehschärfe 0,4 und mehr    10</w:t>
      </w:r>
    </w:p>
    <w:p>
      <w:r>
        <w:rPr>
          <w:rFonts w:ascii="Courier New" w:hAnsi="Courier New"/>
          <w:sz w:val="17"/>
        </w:rPr>
        <w:t xml:space="preserve">        Sehschärfe 0,1 bis weniger als 0,4    20</w:t>
      </w:r>
    </w:p>
    <w:p>
      <w:r>
        <w:rPr>
          <w:rFonts w:ascii="Courier New" w:hAnsi="Courier New"/>
          <w:sz w:val="17"/>
        </w:rPr>
        <w:t xml:space="preserve">        Sehschärfe weniger als 0,1    25-30</w:t>
      </w:r>
    </w:p>
    <w:p>
      <w:r>
        <w:rPr>
          <w:rFonts w:ascii="Courier New" w:hAnsi="Courier New"/>
          <w:sz w:val="17"/>
        </w:rPr>
        <w:t xml:space="preserve">    Linsenverlust beider Augen    </w:t>
      </w:r>
    </w:p>
    <w:p>
      <w:r>
        <w:rPr>
          <w:rFonts w:ascii="Courier New" w:hAnsi="Courier New"/>
          <w:sz w:val="17"/>
        </w:rPr>
        <w:t xml:space="preserve">        Beträgt der sich aus der Sehschärfe für beide Augen ergebende GdS nicht mehr als 60, ist dieser um 10 zu erhöhen.    </w:t>
      </w:r>
    </w:p>
    <w:p>
      <w:r>
        <w:rPr>
          <w:rFonts w:ascii="Courier New" w:hAnsi="Courier New"/>
          <w:sz w:val="17"/>
        </w:rPr>
        <w:t xml:space="preserve">    Die GdS-Werte setzen die Verträglichkeit der Linsen voraus. Maßgebend ist der objektive Befund.    </w:t>
      </w:r>
    </w:p>
    <w:p>
      <w:r>
        <w:rPr>
          <w:rFonts w:ascii="Courier New" w:hAnsi="Courier New"/>
          <w:sz w:val="17"/>
        </w:rPr>
        <w:t xml:space="preserve">    Bei Versorgung mit Starbrille ist der aus der Sehschärfe für beide Augen sich ergebende GdS um 10 zu erhöhen, bei Blindheit oder Verlust des anderen Auges um 20.    </w:t>
      </w:r>
    </w:p>
    <w:p>
      <w:r>
        <w:rPr>
          <w:rFonts w:ascii="Courier New" w:hAnsi="Courier New"/>
          <w:sz w:val="17"/>
        </w:rPr>
        <w:t xml:space="preserve">    Bei Unkorrigierbarkeit richtet sich der GdS nach der Restsehschärfe.    </w:t>
      </w:r>
    </w:p>
    <w:p>
      <w:r>
        <w:rPr>
          <w:rFonts w:ascii="Courier New" w:hAnsi="Courier New"/>
          <w:sz w:val="17"/>
        </w:rPr>
        <w:t xml:space="preserve">4.3 Die augenärztliche Untersuchung umfasst die Prüfung der einäugigen und beidäugigen Sehschärfe. Sind die Ergebnisse beider Prüfungsarten unterschiedlich, so ist bei der Bewertung die beidäugige Sehschärfe als Sehschärfewert des besseren Auges anzusetzen.    </w:t>
      </w:r>
    </w:p>
    <w:p>
      <w:pPr>
        <w:ind w:left="780"/>
      </w:pPr>
      <w:r>
        <w:t xml:space="preserve">MdE-Tabelle der DOG</w:t>
      </w:r>
    </w:p>
    <w:p>
      <w:r>
        <w:rPr>
          <w:rFonts w:ascii="Courier New" w:hAnsi="Courier New"/>
          <w:sz w:val="17"/>
        </w:rPr>
        <w:t xml:space="preserve">RA    1,0    0,8    0,63    0,5    0,4    0,32    0,25    0,2    0,16    0,1    0,08    0,05    0,02    0</w:t>
      </w:r>
    </w:p>
    <w:p>
      <w:r>
        <w:rPr>
          <w:rFonts w:ascii="Courier New" w:hAnsi="Courier New"/>
          <w:sz w:val="17"/>
        </w:rPr>
        <w:t xml:space="preserve">Sehschärfe    5/5    5/6    5/8    5/10    5/12    5/15    5/20    5/25    5/30    5/50    1/12    1/20    1/50    0</w:t>
      </w:r>
    </w:p>
    <w:p>
      <w:r>
        <w:rPr>
          <w:rFonts w:ascii="Courier New" w:hAnsi="Courier New"/>
          <w:sz w:val="17"/>
        </w:rPr>
        <w:t xml:space="preserve">LA    </w:t>
      </w:r>
    </w:p>
    <w:p>
      <w:r>
        <w:rPr>
          <w:rFonts w:ascii="Courier New" w:hAnsi="Courier New"/>
          <w:sz w:val="17"/>
        </w:rPr>
        <w:t xml:space="preserve">1,0    5/5    0    0    0    5    5    10    10    10    15    20    20    25    25    *25</w:t>
      </w:r>
    </w:p>
    <w:p>
      <w:r>
        <w:rPr>
          <w:rFonts w:ascii="Courier New" w:hAnsi="Courier New"/>
          <w:sz w:val="17"/>
        </w:rPr>
        <w:t xml:space="preserve">0,8    5/6    0    0    5    5    10    10    10    15    20    20    25    30    30    30</w:t>
      </w:r>
    </w:p>
    <w:p>
      <w:r>
        <w:rPr>
          <w:rFonts w:ascii="Courier New" w:hAnsi="Courier New"/>
          <w:sz w:val="17"/>
        </w:rPr>
        <w:t xml:space="preserve">0,63    5/8    0    5    10    10    10    10    15    20    20    25    30    30    30    40</w:t>
      </w:r>
    </w:p>
    <w:p>
      <w:r>
        <w:rPr>
          <w:rFonts w:ascii="Courier New" w:hAnsi="Courier New"/>
          <w:sz w:val="17"/>
        </w:rPr>
        <w:t xml:space="preserve">0,5    5/10    5    5    10    10    10    15    20    20    25    30    30    35    40    40</w:t>
      </w:r>
    </w:p>
    <w:p>
      <w:r>
        <w:rPr>
          <w:rFonts w:ascii="Courier New" w:hAnsi="Courier New"/>
          <w:sz w:val="17"/>
        </w:rPr>
        <w:t xml:space="preserve">0,4    5/12    5    10    10    10    20    20    25    25    30    30    35    40    50    50</w:t>
      </w:r>
    </w:p>
    <w:p>
      <w:r>
        <w:rPr>
          <w:rFonts w:ascii="Courier New" w:hAnsi="Courier New"/>
          <w:sz w:val="17"/>
        </w:rPr>
        <w:t xml:space="preserve">0,32    5/15    10    10    10    15    20    30    30    30    40    40    40    50    50    50</w:t>
      </w:r>
    </w:p>
    <w:p>
      <w:r>
        <w:rPr>
          <w:rFonts w:ascii="Courier New" w:hAnsi="Courier New"/>
          <w:sz w:val="17"/>
        </w:rPr>
        <w:t xml:space="preserve">0,25    5/20    10    10    15    20    25    30    40    40    40    50    50    50    60    60</w:t>
      </w:r>
    </w:p>
    <w:p>
      <w:r>
        <w:rPr>
          <w:rFonts w:ascii="Courier New" w:hAnsi="Courier New"/>
          <w:sz w:val="17"/>
        </w:rPr>
        <w:t xml:space="preserve">0,2    5/25    10    15    20    20    25    30    40    50    50    50    60    60    70    70</w:t>
      </w:r>
    </w:p>
    <w:p>
      <w:r>
        <w:rPr>
          <w:rFonts w:ascii="Courier New" w:hAnsi="Courier New"/>
          <w:sz w:val="17"/>
        </w:rPr>
        <w:t xml:space="preserve">0,16    5/30    15    20    20    25    30    40    40    50    60    60    60    70    80    80</w:t>
      </w:r>
    </w:p>
    <w:p>
      <w:r>
        <w:rPr>
          <w:rFonts w:ascii="Courier New" w:hAnsi="Courier New"/>
          <w:sz w:val="17"/>
        </w:rPr>
        <w:t xml:space="preserve">0,1    5/50    20    20    25    30    30    40    50    50    60    70    70    80    90    90</w:t>
      </w:r>
    </w:p>
    <w:p>
      <w:r>
        <w:rPr>
          <w:rFonts w:ascii="Courier New" w:hAnsi="Courier New"/>
          <w:sz w:val="17"/>
        </w:rPr>
        <w:t xml:space="preserve">0,08    1/12    20    25    30    30    35    40    50    60    60    70    80    90    90    90</w:t>
      </w:r>
    </w:p>
    <w:p>
      <w:r>
        <w:rPr>
          <w:rFonts w:ascii="Courier New" w:hAnsi="Courier New"/>
          <w:sz w:val="17"/>
        </w:rPr>
        <w:t xml:space="preserve">0,05    1/20    25    30    30    35    40    50    50    60    70    80    90    100    100    100</w:t>
      </w:r>
    </w:p>
    <w:p>
      <w:r>
        <w:rPr>
          <w:rFonts w:ascii="Courier New" w:hAnsi="Courier New"/>
          <w:sz w:val="17"/>
        </w:rPr>
        <w:t xml:space="preserve">0,02    1/50    25    30    30    40    50    50    60    70    80    90    90    100    100    100</w:t>
      </w:r>
    </w:p>
    <w:p>
      <w:r>
        <w:rPr>
          <w:rFonts w:ascii="Courier New" w:hAnsi="Courier New"/>
          <w:sz w:val="17"/>
        </w:rPr>
        <w:t xml:space="preserve">0    0    *25    30    40    40    50    50    60    70    80    90    90    100    100    100</w:t>
      </w:r>
    </w:p>
    <w:p>
      <w:r>
        <w:rPr>
          <w:rFonts w:ascii="Courier New" w:hAnsi="Courier New"/>
          <w:sz w:val="17"/>
        </w:rPr>
        <w:t xml:space="preserve">4.4 Augenmuskellähmungen, Strabismus    </w:t>
      </w:r>
    </w:p>
    <w:p>
      <w:r>
        <w:rPr>
          <w:rFonts w:ascii="Courier New" w:hAnsi="Courier New"/>
          <w:sz w:val="17"/>
        </w:rPr>
        <w:t xml:space="preserve">    wenn ein Auge wegen der Doppelbilder vom Sehen ausgeschlossen werden muss    30</w:t>
      </w:r>
    </w:p>
    <w:p>
      <w:r>
        <w:rPr>
          <w:rFonts w:ascii="Courier New" w:hAnsi="Courier New"/>
          <w:sz w:val="17"/>
        </w:rPr>
        <w:t xml:space="preserve">    bei Doppelbildern nur in einigen Blickfeldbereichen bei sonst normalem Binokularsehen ergibt sich der GdS aus dem nachstehenden Schema von Haase und Steinhorst:    </w:t>
      </w:r>
    </w:p>
    <w:p>
      <w:r>
        <w:rPr>
          <w:rFonts w:ascii="Courier New" w:hAnsi="Courier New"/>
          <w:sz w:val="17"/>
        </w:rPr>
        <w:t xml:space="preserve">    [Abbildung]    </w:t>
      </w:r>
    </w:p>
    <w:p>
      <w:r>
        <w:rPr>
          <w:rFonts w:ascii="Courier New" w:hAnsi="Courier New"/>
          <w:sz w:val="17"/>
        </w:rPr>
        <w:t xml:space="preserve">    bei einseitiger Bildunterdrückung durch Gewöhnung (Exklusion) und entsprechendem Verschwinden der Doppelbilder    10</w:t>
      </w:r>
    </w:p>
    <w:p>
      <w:r>
        <w:rPr>
          <w:rFonts w:ascii="Courier New" w:hAnsi="Courier New"/>
          <w:sz w:val="17"/>
        </w:rPr>
        <w:t xml:space="preserve">    Einschränkungen der Sehschärfe (z. B. Amblyopie) oder eine erheblich entstellende Wirkung sind ggf. zusätzlich zu berücksichtigen.    </w:t>
      </w:r>
    </w:p>
    <w:p>
      <w:r>
        <w:rPr>
          <w:rFonts w:ascii="Courier New" w:hAnsi="Courier New"/>
          <w:sz w:val="17"/>
        </w:rPr>
        <w:t xml:space="preserve">Lähmung des Oberlides mit nicht korrigierbarem, vollständigem    </w:t>
      </w:r>
    </w:p>
    <w:p>
      <w:r>
        <w:rPr>
          <w:rFonts w:ascii="Courier New" w:hAnsi="Courier New"/>
          <w:sz w:val="17"/>
        </w:rPr>
        <w:t xml:space="preserve">    Verschluss des Auges    30</w:t>
      </w:r>
    </w:p>
    <w:p>
      <w:r>
        <w:rPr>
          <w:rFonts w:ascii="Courier New" w:hAnsi="Courier New"/>
          <w:sz w:val="17"/>
        </w:rPr>
        <w:t xml:space="preserve">    sonst    10-20</w:t>
      </w:r>
    </w:p>
    <w:p>
      <w:r>
        <w:rPr>
          <w:rFonts w:ascii="Courier New" w:hAnsi="Courier New"/>
          <w:sz w:val="17"/>
        </w:rPr>
        <w:t xml:space="preserve">Fehlstellungen der Lider, Verlegung der Tränenwege mit Tränenträufeln    </w:t>
      </w:r>
    </w:p>
    <w:p>
      <w:r>
        <w:rPr>
          <w:rFonts w:ascii="Courier New" w:hAnsi="Courier New"/>
          <w:sz w:val="17"/>
        </w:rPr>
        <w:t xml:space="preserve">    einseitig    0-10</w:t>
      </w:r>
    </w:p>
    <w:p>
      <w:r>
        <w:rPr>
          <w:rFonts w:ascii="Courier New" w:hAnsi="Courier New"/>
          <w:sz w:val="17"/>
        </w:rPr>
        <w:t xml:space="preserve">    beidseitig    10-20</w:t>
      </w:r>
    </w:p>
    <w:p>
      <w:r>
        <w:rPr>
          <w:rFonts w:ascii="Courier New" w:hAnsi="Courier New"/>
          <w:sz w:val="17"/>
        </w:rPr>
        <w:t xml:space="preserve">4.5 Gesichtsfeldausfälle    </w:t>
      </w:r>
    </w:p>
    <w:p>
      <w:r>
        <w:rPr>
          <w:rFonts w:ascii="Courier New" w:hAnsi="Courier New"/>
          <w:sz w:val="17"/>
        </w:rPr>
        <w:t xml:space="preserve">    Vollständige Halbseiten- und Quadrantenausfälle    </w:t>
      </w:r>
    </w:p>
    <w:p>
      <w:r>
        <w:rPr>
          <w:rFonts w:ascii="Courier New" w:hAnsi="Courier New"/>
          <w:sz w:val="17"/>
        </w:rPr>
        <w:t xml:space="preserve">        Homonyme Hemianopsie    40</w:t>
      </w:r>
    </w:p>
    <w:p>
      <w:r>
        <w:rPr>
          <w:rFonts w:ascii="Courier New" w:hAnsi="Courier New"/>
          <w:sz w:val="17"/>
        </w:rPr>
        <w:t xml:space="preserve">        Bitemporale Hemianopsie    30</w:t>
      </w:r>
    </w:p>
    <w:p>
      <w:r>
        <w:rPr>
          <w:rFonts w:ascii="Courier New" w:hAnsi="Courier New"/>
          <w:sz w:val="17"/>
        </w:rPr>
        <w:t xml:space="preserve">        Binasale Hemianopsie    </w:t>
      </w:r>
    </w:p>
    <w:p>
      <w:r>
        <w:rPr>
          <w:rFonts w:ascii="Courier New" w:hAnsi="Courier New"/>
          <w:sz w:val="17"/>
        </w:rPr>
        <w:t xml:space="preserve">        bei beidäugigem Sehen    10</w:t>
      </w:r>
    </w:p>
    <w:p>
      <w:r>
        <w:rPr>
          <w:rFonts w:ascii="Courier New" w:hAnsi="Courier New"/>
          <w:sz w:val="17"/>
        </w:rPr>
        <w:t xml:space="preserve">        bei Verlust des beidäugigen Sehens    30</w:t>
      </w:r>
    </w:p>
    <w:p>
      <w:r>
        <w:rPr>
          <w:rFonts w:ascii="Courier New" w:hAnsi="Courier New"/>
          <w:sz w:val="17"/>
        </w:rPr>
        <w:t xml:space="preserve">        Homonymer Quadrant oben    20</w:t>
      </w:r>
    </w:p>
    <w:p>
      <w:r>
        <w:rPr>
          <w:rFonts w:ascii="Courier New" w:hAnsi="Courier New"/>
          <w:sz w:val="17"/>
        </w:rPr>
        <w:t xml:space="preserve">        Homonymer Quadrant unten    30</w:t>
      </w:r>
    </w:p>
    <w:p>
      <w:r>
        <w:rPr>
          <w:rFonts w:ascii="Courier New" w:hAnsi="Courier New"/>
          <w:sz w:val="17"/>
        </w:rPr>
        <w:t xml:space="preserve">        Vollständiger Ausfall beider unterer Gesichtsfeldhälften    60</w:t>
      </w:r>
    </w:p>
    <w:p>
      <w:r>
        <w:rPr>
          <w:rFonts w:ascii="Courier New" w:hAnsi="Courier New"/>
          <w:sz w:val="17"/>
        </w:rPr>
        <w:t xml:space="preserve">    Ausfall einer Gesichtsfeldhälfte bei Verlust oder Blindheit des anderen Auges    </w:t>
      </w:r>
    </w:p>
    <w:p>
      <w:r>
        <w:rPr>
          <w:rFonts w:ascii="Courier New" w:hAnsi="Courier New"/>
          <w:sz w:val="17"/>
        </w:rPr>
        <w:t xml:space="preserve">        nasal    60</w:t>
      </w:r>
    </w:p>
    <w:p>
      <w:r>
        <w:rPr>
          <w:rFonts w:ascii="Courier New" w:hAnsi="Courier New"/>
          <w:sz w:val="17"/>
        </w:rPr>
        <w:t xml:space="preserve">        temporal    70</w:t>
      </w:r>
    </w:p>
    <w:p>
      <w:r>
        <w:rPr>
          <w:rFonts w:ascii="Courier New" w:hAnsi="Courier New"/>
          <w:sz w:val="17"/>
        </w:rPr>
        <w:t xml:space="preserve">    Bei unvollständigen Halbseiten- und Quadrantenausfällen ist der GdS entsprechend niedriger anzusetzen.    </w:t>
      </w:r>
    </w:p>
    <w:p>
      <w:r>
        <w:rPr>
          <w:rFonts w:ascii="Courier New" w:hAnsi="Courier New"/>
          <w:sz w:val="17"/>
        </w:rPr>
        <w:t xml:space="preserve">Gesichtsfeldeinengungen    </w:t>
      </w:r>
    </w:p>
    <w:p>
      <w:r>
        <w:rPr>
          <w:rFonts w:ascii="Courier New" w:hAnsi="Courier New"/>
          <w:sz w:val="17"/>
        </w:rPr>
        <w:t xml:space="preserve">    Allseitige Einengung bei normalem Gesichtsfeld des anderen Auges    </w:t>
      </w:r>
    </w:p>
    <w:p>
      <w:r>
        <w:rPr>
          <w:rFonts w:ascii="Courier New" w:hAnsi="Courier New"/>
          <w:sz w:val="17"/>
        </w:rPr>
        <w:t xml:space="preserve">        auf 10° Abstand vom Zentrum    10</w:t>
      </w:r>
    </w:p>
    <w:p>
      <w:r>
        <w:rPr>
          <w:rFonts w:ascii="Courier New" w:hAnsi="Courier New"/>
          <w:sz w:val="17"/>
        </w:rPr>
        <w:t xml:space="preserve">        auf 5° Abstand vom Zentrum    25</w:t>
      </w:r>
    </w:p>
    <w:p>
      <w:r>
        <w:rPr>
          <w:rFonts w:ascii="Courier New" w:hAnsi="Courier New"/>
          <w:sz w:val="17"/>
        </w:rPr>
        <w:t xml:space="preserve">        Allseitige Einengung binokular    </w:t>
      </w:r>
    </w:p>
    <w:p>
      <w:r>
        <w:rPr>
          <w:rFonts w:ascii="Courier New" w:hAnsi="Courier New"/>
          <w:sz w:val="17"/>
        </w:rPr>
        <w:t xml:space="preserve">        auf 50° Abstand vom Zentrum    10</w:t>
      </w:r>
    </w:p>
    <w:p>
      <w:r>
        <w:rPr>
          <w:rFonts w:ascii="Courier New" w:hAnsi="Courier New"/>
          <w:sz w:val="17"/>
        </w:rPr>
        <w:t xml:space="preserve">        auf 30° Abstand vom Zentrum    30</w:t>
      </w:r>
    </w:p>
    <w:p>
      <w:r>
        <w:rPr>
          <w:rFonts w:ascii="Courier New" w:hAnsi="Courier New"/>
          <w:sz w:val="17"/>
        </w:rPr>
        <w:t xml:space="preserve">        auf 10° Abstand vom Zentrum    70</w:t>
      </w:r>
    </w:p>
    <w:p>
      <w:r>
        <w:rPr>
          <w:rFonts w:ascii="Courier New" w:hAnsi="Courier New"/>
          <w:sz w:val="17"/>
        </w:rPr>
        <w:t xml:space="preserve">        auf 5° Abstand vom Zentrum    100</w:t>
      </w:r>
    </w:p>
    <w:p>
      <w:r>
        <w:rPr>
          <w:rFonts w:ascii="Courier New" w:hAnsi="Courier New"/>
          <w:sz w:val="17"/>
        </w:rPr>
        <w:t xml:space="preserve">    Allseitige Einengung bei Fehlen des anderen Auges    </w:t>
      </w:r>
    </w:p>
    <w:p>
      <w:r>
        <w:rPr>
          <w:rFonts w:ascii="Courier New" w:hAnsi="Courier New"/>
          <w:sz w:val="17"/>
        </w:rPr>
        <w:t xml:space="preserve">        auf 50° Abstand vom Zentrum    40</w:t>
      </w:r>
    </w:p>
    <w:p>
      <w:r>
        <w:rPr>
          <w:rFonts w:ascii="Courier New" w:hAnsi="Courier New"/>
          <w:sz w:val="17"/>
        </w:rPr>
        <w:t xml:space="preserve">        auf 30° Abstand vom Zentrum    60</w:t>
      </w:r>
    </w:p>
    <w:p>
      <w:r>
        <w:rPr>
          <w:rFonts w:ascii="Courier New" w:hAnsi="Courier New"/>
          <w:sz w:val="17"/>
        </w:rPr>
        <w:t xml:space="preserve">        auf 10° Abstand vom Zentrum    90</w:t>
      </w:r>
    </w:p>
    <w:p>
      <w:r>
        <w:rPr>
          <w:rFonts w:ascii="Courier New" w:hAnsi="Courier New"/>
          <w:sz w:val="17"/>
        </w:rPr>
        <w:t xml:space="preserve">        auf 5° Abstand vom Zentrum    100</w:t>
      </w:r>
    </w:p>
    <w:p>
      <w:r>
        <w:rPr>
          <w:rFonts w:ascii="Courier New" w:hAnsi="Courier New"/>
          <w:sz w:val="17"/>
        </w:rPr>
        <w:t xml:space="preserve">    Unregelmäßige Gesichtsfeldausfälle, Skotome im 50°-Gesichtsfeld unterhalb des horizontalen Meridians, binokular    </w:t>
      </w:r>
    </w:p>
    <w:p>
      <w:r>
        <w:rPr>
          <w:rFonts w:ascii="Courier New" w:hAnsi="Courier New"/>
          <w:sz w:val="17"/>
        </w:rPr>
        <w:t xml:space="preserve">        mindestens 1/3 ausgefallene Fläche    20</w:t>
      </w:r>
    </w:p>
    <w:p>
      <w:r>
        <w:rPr>
          <w:rFonts w:ascii="Courier New" w:hAnsi="Courier New"/>
          <w:sz w:val="17"/>
        </w:rPr>
        <w:t xml:space="preserve">        mindestens 2/3 ausgefallene Fläche    50</w:t>
      </w:r>
    </w:p>
    <w:p>
      <w:r>
        <w:rPr>
          <w:rFonts w:ascii="Courier New" w:hAnsi="Courier New"/>
          <w:sz w:val="17"/>
        </w:rPr>
        <w:t xml:space="preserve">    Bei Fehlen eines Auges sind die Skotome entsprechend höher zu bewerten.    </w:t>
      </w:r>
    </w:p>
    <w:p>
      <w:r>
        <w:rPr>
          <w:rFonts w:ascii="Courier New" w:hAnsi="Courier New"/>
          <w:sz w:val="17"/>
        </w:rPr>
        <w:t xml:space="preserve">4.6 Ausfall des Farbensinns    0</w:t>
      </w:r>
    </w:p>
    <w:p>
      <w:r>
        <w:rPr>
          <w:rFonts w:ascii="Courier New" w:hAnsi="Courier New"/>
          <w:sz w:val="17"/>
        </w:rPr>
        <w:t xml:space="preserve">Einschränkung der Dunkeladaptation (Nachtblindheit) oder des Dämmerungssehens    0-10</w:t>
      </w:r>
    </w:p>
    <w:p>
      <w:r>
        <w:rPr>
          <w:rFonts w:ascii="Courier New" w:hAnsi="Courier New"/>
          <w:sz w:val="17"/>
        </w:rPr>
        <w:t xml:space="preserve">4.7 Nach Hornhauttransplantationen richtet sich der GdS allein nach dem Sehvermögen.</w:t>
      </w:r>
    </w:p>
    <w:p>
      <w:r>
        <w:rPr>
          <w:rFonts w:ascii="Courier New" w:hAnsi="Courier New"/>
          <w:sz w:val="17"/>
        </w:rPr>
        <w:t xml:space="preserve">4.8 Nach Entfernung eines malignen Augentumors ist in den ersten fünf Jahren eine Heilungsbewährung abzuwarten; GdS während dieser Zeit</w:t>
      </w:r>
    </w:p>
    <w:p>
      <w:r>
        <w:rPr>
          <w:rFonts w:ascii="Courier New" w:hAnsi="Courier New"/>
          <w:sz w:val="17"/>
        </w:rPr>
        <w:t xml:space="preserve">        bei Tumorbegrenzung auf den Augapfel (auch bei Augapfelentfernung)    50</w:t>
      </w:r>
    </w:p>
    <w:p>
      <w:r>
        <w:rPr>
          <w:rFonts w:ascii="Courier New" w:hAnsi="Courier New"/>
          <w:sz w:val="17"/>
        </w:rPr>
        <w:t xml:space="preserve">        sonst    wenigstens 80</w:t>
      </w:r>
    </w:p>
    <w:p>
      <w:pPr>
        <w:ind w:left="420"/>
      </w:pPr>
      <w:r>
        <w:t xml:space="preserve">5. Hör- und Gleichgewichtsorgan</w:t>
      </w:r>
    </w:p>
    <w:p>
      <w:r>
        <w:rPr>
          <w:rFonts w:ascii="Courier New" w:hAnsi="Courier New"/>
          <w:sz w:val="17"/>
        </w:rPr>
        <w:t xml:space="preserve">Maßgebend für die Bewertung des GdS bei Hörstörungen ist die Herabsetzung des Sprachgehörs, deren Umfang durch Prüfung ohne Hörhilfen zu bestimmen ist. Der Beurteilung ist die von der Deutschen Gesellschaft für Hals-Nasen-Ohrenheilkunde, Kopf- und Hals-Chirurgie empfohlene Tabelle (siehe Nummer 5.2.4, Tabelle D) zugrunde zu legen. Nach Durchführung eines Ton- und Sprachaudiogramms ist der Prozentsatz des Hörverlustes aus entsprechenden Tabellen abzuleiten.</w:t>
      </w:r>
    </w:p>
    <w:p>
      <w:r>
        <w:rPr>
          <w:rFonts w:ascii="Courier New" w:hAnsi="Courier New"/>
          <w:sz w:val="17"/>
        </w:rPr>
        <w:t xml:space="preserve">Die in der GdS-Tabelle enthaltenen Werte zur Schwerhörigkeit berücksichtigen die Möglichkeit eines Teilausgleichs durch Hörhilfen mit.</w:t>
      </w:r>
    </w:p>
    <w:p>
      <w:r>
        <w:rPr>
          <w:rFonts w:ascii="Courier New" w:hAnsi="Courier New"/>
          <w:sz w:val="17"/>
        </w:rPr>
        <w:t xml:space="preserve">Sind mit der Hörstörung andere Erscheinungen verbunden, z. B. Ohrgeräusche, Gleichgewichtsstörungen, Artikulationsstörungen oder außergewöhnliche psychoreaktive Störungen, so kann der GdS entsprechend höher bewertet werden.</w:t>
      </w:r>
    </w:p>
    <w:p>
      <w:r>
        <w:rPr>
          <w:rFonts w:ascii="Courier New" w:hAnsi="Courier New"/>
          <w:sz w:val="17"/>
        </w:rPr>
        <w:t xml:space="preserve">5.1 Angeborene oder in der Kindheit erworbene Taubheit oder an Taubheit grenzende Schwerhörigkeit mit Sprachstörungen    </w:t>
      </w:r>
    </w:p>
    <w:p>
      <w:r>
        <w:rPr>
          <w:rFonts w:ascii="Courier New" w:hAnsi="Courier New"/>
          <w:sz w:val="17"/>
        </w:rPr>
        <w:t xml:space="preserve">    angeboren oder bis zum 7. Lebensjahr erworben (schwere Störung des Spracherwerbs, in der Regel lebenslang)    100</w:t>
      </w:r>
    </w:p>
    <w:p>
      <w:r>
        <w:rPr>
          <w:rFonts w:ascii="Courier New" w:hAnsi="Courier New"/>
          <w:sz w:val="17"/>
        </w:rPr>
        <w:t xml:space="preserve">    später erworben (im 8. bis 18. Lebensjahr) mit schweren Sprachstörungen (schwer verständliche Lautsprache, geringer Sprachschatz)    100</w:t>
      </w:r>
    </w:p>
    <w:p>
      <w:r>
        <w:rPr>
          <w:rFonts w:ascii="Courier New" w:hAnsi="Courier New"/>
          <w:sz w:val="17"/>
        </w:rPr>
        <w:t xml:space="preserve">    sonst je nach Sprachstörung    80-90</w:t>
      </w:r>
    </w:p>
    <w:p>
      <w:r>
        <w:rPr>
          <w:rFonts w:ascii="Courier New" w:hAnsi="Courier New"/>
          <w:sz w:val="17"/>
        </w:rPr>
        <w:t xml:space="preserve">5.2 Hörverlust    </w:t>
      </w:r>
    </w:p>
    <w:p>
      <w:r>
        <w:rPr>
          <w:rFonts w:ascii="Courier New" w:hAnsi="Courier New"/>
          <w:sz w:val="17"/>
        </w:rPr>
        <w:t xml:space="preserve">5.2.1 Zur Ermittlung des prozentualen Hörverlustes aus den Werten der sprachaudiometrischen Untersuchung (nach Boenninghaus u. Röser 1973):    </w:t>
      </w:r>
    </w:p>
    <w:p>
      <w:pPr>
        <w:ind w:left="780"/>
      </w:pPr>
      <w:r>
        <w:t xml:space="preserve">Tabelle A</w:t>
      </w:r>
    </w:p>
    <w:p>
      <w:r>
        <w:rPr>
          <w:rFonts w:ascii="Courier New" w:hAnsi="Courier New"/>
          <w:sz w:val="17"/>
        </w:rPr>
        <w:t xml:space="preserve">        Hörverlust für Zahlen ind dB</w:t>
      </w:r>
    </w:p>
    <w:p>
      <w:r>
        <w:rPr>
          <w:rFonts w:ascii="Courier New" w:hAnsi="Courier New"/>
          <w:sz w:val="17"/>
        </w:rPr>
        <w:t xml:space="preserve">        &lt;    ab    ab    ab    ab    ab    ab    ab    ab    ab    ab    ab</w:t>
      </w:r>
    </w:p>
    <w:p>
      <w:r>
        <w:rPr>
          <w:rFonts w:ascii="Courier New" w:hAnsi="Courier New"/>
          <w:sz w:val="17"/>
        </w:rPr>
        <w:t xml:space="preserve">            20    20    25    30    35    40    45    50    55    60    65    70</w:t>
      </w:r>
    </w:p>
    <w:p>
      <w:r>
        <w:rPr>
          <w:rFonts w:ascii="Courier New" w:hAnsi="Courier New"/>
          <w:sz w:val="17"/>
        </w:rPr>
        <w:t xml:space="preserve">Gesamtwortverstehen    &lt;    20    100    100    100    100    100    100    100    100    100    100    100    100</w:t>
      </w:r>
    </w:p>
    <w:p>
      <w:r>
        <w:rPr>
          <w:rFonts w:ascii="Courier New" w:hAnsi="Courier New"/>
          <w:sz w:val="17"/>
        </w:rPr>
        <w:t xml:space="preserve">ab    20    95    95    95    95    95    95    95    95    95    95    95    100</w:t>
      </w:r>
    </w:p>
    <w:p>
      <w:r>
        <w:rPr>
          <w:rFonts w:ascii="Courier New" w:hAnsi="Courier New"/>
          <w:sz w:val="17"/>
        </w:rPr>
        <w:t xml:space="preserve">ab    35    90    90    90    90    90    90    90    90    90    90    95    100</w:t>
      </w:r>
    </w:p>
    <w:p>
      <w:r>
        <w:rPr>
          <w:rFonts w:ascii="Courier New" w:hAnsi="Courier New"/>
          <w:sz w:val="17"/>
        </w:rPr>
        <w:t xml:space="preserve">ab    50    80    80    80    80    80    80    80    80    80    90    95    100</w:t>
      </w:r>
    </w:p>
    <w:p>
      <w:r>
        <w:rPr>
          <w:rFonts w:ascii="Courier New" w:hAnsi="Courier New"/>
          <w:sz w:val="17"/>
        </w:rPr>
        <w:t xml:space="preserve">ab    75    70    70    70    70    70    70    70    70    80    90    95    100</w:t>
      </w:r>
    </w:p>
    <w:p>
      <w:r>
        <w:rPr>
          <w:rFonts w:ascii="Courier New" w:hAnsi="Courier New"/>
          <w:sz w:val="17"/>
        </w:rPr>
        <w:t xml:space="preserve">ab    100    60    60    60    60    60    60    60    70    80    90    95    </w:t>
      </w:r>
    </w:p>
    <w:p>
      <w:r>
        <w:rPr>
          <w:rFonts w:ascii="Courier New" w:hAnsi="Courier New"/>
          <w:sz w:val="17"/>
        </w:rPr>
        <w:t xml:space="preserve">ab    125    50    50    50    50    50    50    60    70    80    90        </w:t>
      </w:r>
    </w:p>
    <w:p>
      <w:r>
        <w:rPr>
          <w:rFonts w:ascii="Courier New" w:hAnsi="Courier New"/>
          <w:sz w:val="17"/>
        </w:rPr>
        <w:t xml:space="preserve">ab    150    40    40    40    40    40    50    60    70    80            </w:t>
      </w:r>
    </w:p>
    <w:p>
      <w:r>
        <w:rPr>
          <w:rFonts w:ascii="Courier New" w:hAnsi="Courier New"/>
          <w:sz w:val="17"/>
        </w:rPr>
        <w:t xml:space="preserve">ab    175    30    30    30    30    40    50    60    70                </w:t>
      </w:r>
    </w:p>
    <w:p>
      <w:r>
        <w:rPr>
          <w:rFonts w:ascii="Courier New" w:hAnsi="Courier New"/>
          <w:sz w:val="17"/>
        </w:rPr>
        <w:t xml:space="preserve">ab    200    20    20    20    30    40    50    60                    </w:t>
      </w:r>
    </w:p>
    <w:p>
      <w:r>
        <w:rPr>
          <w:rFonts w:ascii="Courier New" w:hAnsi="Courier New"/>
          <w:sz w:val="17"/>
        </w:rPr>
        <w:t xml:space="preserve">ab    225    10    10    20    30    40    50                        </w:t>
      </w:r>
    </w:p>
    <w:p>
      <w:r>
        <w:rPr>
          <w:rFonts w:ascii="Courier New" w:hAnsi="Courier New"/>
          <w:sz w:val="17"/>
        </w:rPr>
        <w:t xml:space="preserve">ab    250    0    10    20    30    40                            </w:t>
      </w:r>
    </w:p>
    <w:p>
      <w:pPr>
        <w:ind w:left="780"/>
      </w:pPr>
      <w:r>
        <w:t xml:space="preserve">Das Gesamtwortverstehen wird aus der Wortverständigungskurve errechnet. Es entsteht durch Addition der Verständnisquoten bei 60, 80 und 100 dB Lautstärke (einfaches Gesamtwortverstehen). Bei der Ermittlung von Schwerhörigkeiten bis zu einem Hörverlust von 40% ist das gewichtete Gesamtwortverstehen (FeIdmann 1988 anzuwenden: 3 x Verständnisquote bei 60dB + 2 x Verständnisquote bei 80 dB + 1 x Verständnisquote bei 100 dB. Summe dividiert durch 2.</w:t>
      </w:r>
    </w:p>
    <w:p>
      <w:r>
        <w:rPr>
          <w:rFonts w:ascii="Courier New" w:hAnsi="Courier New"/>
          <w:sz w:val="17"/>
        </w:rPr>
        <w:t xml:space="preserve">5.2.2 Zur Ermittlung des prozentualen Hörverlustes aus dem Tonaudiogramm bei unregelmäßigem Verlauf der Tongehörskurve. Der prozentuale Hörverlust ergibt sich durch Addition der vier Teilkomponenten (4-Frequenztabelle nach Röser 1973):</w:t>
      </w:r>
    </w:p>
    <w:p>
      <w:pPr>
        <w:ind w:left="780"/>
      </w:pPr>
      <w:r>
        <w:t xml:space="preserve">Tabelle B</w:t>
      </w:r>
    </w:p>
    <w:p>
      <w:r>
        <w:rPr>
          <w:rFonts w:ascii="Courier New" w:hAnsi="Courier New"/>
          <w:sz w:val="17"/>
        </w:rPr>
        <w:t xml:space="preserve">Tonhörverlust                </w:t>
      </w:r>
    </w:p>
    <w:p>
      <w:r>
        <w:rPr>
          <w:rFonts w:ascii="Courier New" w:hAnsi="Courier New"/>
          <w:sz w:val="17"/>
        </w:rPr>
        <w:t xml:space="preserve">dB    500 Hz    1000 Hz    2000 Hz    4000 Hz</w:t>
      </w:r>
    </w:p>
    <w:p>
      <w:r>
        <w:rPr>
          <w:rFonts w:ascii="Courier New" w:hAnsi="Courier New"/>
          <w:sz w:val="17"/>
        </w:rPr>
        <w:t xml:space="preserve">10    0    0    0    0</w:t>
      </w:r>
    </w:p>
    <w:p>
      <w:r>
        <w:rPr>
          <w:rFonts w:ascii="Courier New" w:hAnsi="Courier New"/>
          <w:sz w:val="17"/>
        </w:rPr>
        <w:t xml:space="preserve">15    2    3    2    1</w:t>
      </w:r>
    </w:p>
    <w:p>
      <w:r>
        <w:rPr>
          <w:rFonts w:ascii="Courier New" w:hAnsi="Courier New"/>
          <w:sz w:val="17"/>
        </w:rPr>
        <w:t xml:space="preserve">20    3    5    5    2</w:t>
      </w:r>
    </w:p>
    <w:p>
      <w:r>
        <w:rPr>
          <w:rFonts w:ascii="Courier New" w:hAnsi="Courier New"/>
          <w:sz w:val="17"/>
        </w:rPr>
        <w:t xml:space="preserve">25    4    8    7    4</w:t>
      </w:r>
    </w:p>
    <w:p>
      <w:r>
        <w:rPr>
          <w:rFonts w:ascii="Courier New" w:hAnsi="Courier New"/>
          <w:sz w:val="17"/>
        </w:rPr>
        <w:t xml:space="preserve">30    6    10    9    5</w:t>
      </w:r>
    </w:p>
    <w:p>
      <w:r>
        <w:rPr>
          <w:rFonts w:ascii="Courier New" w:hAnsi="Courier New"/>
          <w:sz w:val="17"/>
        </w:rPr>
        <w:t xml:space="preserve">35    8    13    11    6</w:t>
      </w:r>
    </w:p>
    <w:p>
      <w:r>
        <w:rPr>
          <w:rFonts w:ascii="Courier New" w:hAnsi="Courier New"/>
          <w:sz w:val="17"/>
        </w:rPr>
        <w:t xml:space="preserve">40    9    16    13    7</w:t>
      </w:r>
    </w:p>
    <w:p>
      <w:r>
        <w:rPr>
          <w:rFonts w:ascii="Courier New" w:hAnsi="Courier New"/>
          <w:sz w:val="17"/>
        </w:rPr>
        <w:t xml:space="preserve">45    11    18    16    8</w:t>
      </w:r>
    </w:p>
    <w:p>
      <w:r>
        <w:rPr>
          <w:rFonts w:ascii="Courier New" w:hAnsi="Courier New"/>
          <w:sz w:val="17"/>
        </w:rPr>
        <w:t xml:space="preserve">50    12    21    18    9</w:t>
      </w:r>
    </w:p>
    <w:p>
      <w:r>
        <w:rPr>
          <w:rFonts w:ascii="Courier New" w:hAnsi="Courier New"/>
          <w:sz w:val="17"/>
        </w:rPr>
        <w:t xml:space="preserve">55    14    24    20    10</w:t>
      </w:r>
    </w:p>
    <w:p>
      <w:r>
        <w:rPr>
          <w:rFonts w:ascii="Courier New" w:hAnsi="Courier New"/>
          <w:sz w:val="17"/>
        </w:rPr>
        <w:t xml:space="preserve">60    15    26    23    11</w:t>
      </w:r>
    </w:p>
    <w:p>
      <w:r>
        <w:rPr>
          <w:rFonts w:ascii="Courier New" w:hAnsi="Courier New"/>
          <w:sz w:val="17"/>
        </w:rPr>
        <w:t xml:space="preserve">65    17    29    25    12</w:t>
      </w:r>
    </w:p>
    <w:p>
      <w:r>
        <w:rPr>
          <w:rFonts w:ascii="Courier New" w:hAnsi="Courier New"/>
          <w:sz w:val="17"/>
        </w:rPr>
        <w:t xml:space="preserve">70    18    32    27    13</w:t>
      </w:r>
    </w:p>
    <w:p>
      <w:r>
        <w:rPr>
          <w:rFonts w:ascii="Courier New" w:hAnsi="Courier New"/>
          <w:sz w:val="17"/>
        </w:rPr>
        <w:t xml:space="preserve">75    19    32    28    14</w:t>
      </w:r>
    </w:p>
    <w:p>
      <w:r>
        <w:rPr>
          <w:rFonts w:ascii="Courier New" w:hAnsi="Courier New"/>
          <w:sz w:val="17"/>
        </w:rPr>
        <w:t xml:space="preserve">80    19    33    29    14</w:t>
      </w:r>
    </w:p>
    <w:p>
      <w:r>
        <w:rPr>
          <w:rFonts w:ascii="Courier New" w:hAnsi="Courier New"/>
          <w:sz w:val="17"/>
        </w:rPr>
        <w:t xml:space="preserve">ab 85    20    35    30    15</w:t>
      </w:r>
    </w:p>
    <w:p>
      <w:r>
        <w:rPr>
          <w:rFonts w:ascii="Courier New" w:hAnsi="Courier New"/>
          <w:sz w:val="17"/>
        </w:rPr>
        <w:t xml:space="preserve">5.2.3.3 Frequenztabelle nach Röser 1980 für die Beurteilung bei Hochtonverlusten vom Typ Lärmschwerhörigkeit:</w:t>
      </w:r>
    </w:p>
    <w:p>
      <w:pPr>
        <w:ind w:left="780"/>
      </w:pPr>
      <w:r>
        <w:t xml:space="preserve">Tabelle C</w:t>
      </w:r>
    </w:p>
    <w:p>
      <w:r>
        <w:rPr>
          <w:rFonts w:ascii="Courier New" w:hAnsi="Courier New"/>
          <w:sz w:val="17"/>
        </w:rPr>
        <w:t xml:space="preserve">            Tonverlust bei 1 kHz</w:t>
      </w:r>
    </w:p>
    <w:p>
      <w:r>
        <w:rPr>
          <w:rFonts w:ascii="Courier New" w:hAnsi="Courier New"/>
          <w:sz w:val="17"/>
        </w:rPr>
        <w:t xml:space="preserve">        dB von    0    5    15    25    35    45    55    65    75    85    95</w:t>
      </w:r>
    </w:p>
    <w:p>
      <w:r>
        <w:rPr>
          <w:rFonts w:ascii="Courier New" w:hAnsi="Courier New"/>
          <w:sz w:val="17"/>
        </w:rPr>
        <w:t xml:space="preserve">        bis    5    10    20    30    40    50    60    70    80    90    100</w:t>
      </w:r>
    </w:p>
    <w:p>
      <w:r>
        <w:rPr>
          <w:rFonts w:ascii="Courier New" w:hAnsi="Courier New"/>
          <w:sz w:val="17"/>
        </w:rPr>
        <w:t xml:space="preserve">Summe bei 2 und 3 kHz    0 - 15    0    0    0    0    5    5            Hörverlust in %</w:t>
      </w:r>
    </w:p>
    <w:p>
      <w:r>
        <w:rPr>
          <w:rFonts w:ascii="Courier New" w:hAnsi="Courier New"/>
          <w:sz w:val="17"/>
        </w:rPr>
        <w:t xml:space="preserve">20 - 35    0    0    0    5    10    20    30                </w:t>
      </w:r>
    </w:p>
    <w:p>
      <w:r>
        <w:rPr>
          <w:rFonts w:ascii="Courier New" w:hAnsi="Courier New"/>
          <w:sz w:val="17"/>
        </w:rPr>
        <w:t xml:space="preserve">40 - 55    0    0    0    10    20    25    35    45            </w:t>
      </w:r>
    </w:p>
    <w:p>
      <w:r>
        <w:rPr>
          <w:rFonts w:ascii="Courier New" w:hAnsi="Courier New"/>
          <w:sz w:val="17"/>
        </w:rPr>
        <w:t xml:space="preserve">60 - 75    0    0    10    15    25    35    40    50    60        </w:t>
      </w:r>
    </w:p>
    <w:p>
      <w:r>
        <w:rPr>
          <w:rFonts w:ascii="Courier New" w:hAnsi="Courier New"/>
          <w:sz w:val="17"/>
        </w:rPr>
        <w:t xml:space="preserve">80 - 95    0    5    15    25    30    40    50    60    70    80    </w:t>
      </w:r>
    </w:p>
    <w:p>
      <w:r>
        <w:rPr>
          <w:rFonts w:ascii="Courier New" w:hAnsi="Courier New"/>
          <w:sz w:val="17"/>
        </w:rPr>
        <w:t xml:space="preserve">100 - 115    5    15    20    30    40    45    55    70    80    90    100</w:t>
      </w:r>
    </w:p>
    <w:p>
      <w:r>
        <w:rPr>
          <w:rFonts w:ascii="Courier New" w:hAnsi="Courier New"/>
          <w:sz w:val="17"/>
        </w:rPr>
        <w:t xml:space="preserve">120 - 135    10    20    30    35    45    55    65    75    90    100    100</w:t>
      </w:r>
    </w:p>
    <w:p>
      <w:r>
        <w:rPr>
          <w:rFonts w:ascii="Courier New" w:hAnsi="Courier New"/>
          <w:sz w:val="17"/>
        </w:rPr>
        <w:t xml:space="preserve">140 - 155    20    25    35    45    50    60    75    85    95    100    100</w:t>
      </w:r>
    </w:p>
    <w:p>
      <w:r>
        <w:rPr>
          <w:rFonts w:ascii="Courier New" w:hAnsi="Courier New"/>
          <w:sz w:val="17"/>
        </w:rPr>
        <w:t xml:space="preserve">160 - 175    25    35    40    50    60    70    80    95    100    100    100</w:t>
      </w:r>
    </w:p>
    <w:p>
      <w:r>
        <w:rPr>
          <w:rFonts w:ascii="Courier New" w:hAnsi="Courier New"/>
          <w:sz w:val="17"/>
        </w:rPr>
        <w:t xml:space="preserve">80 - 195    30    40    50    55    70    80    90    100    100    100    100</w:t>
      </w:r>
    </w:p>
    <w:p>
      <w:r>
        <w:rPr>
          <w:rFonts w:ascii="Courier New" w:hAnsi="Courier New"/>
          <w:sz w:val="17"/>
        </w:rPr>
        <w:t xml:space="preserve">ab 200    40    45    55    65    75    90    100    100    100    100    100</w:t>
      </w:r>
    </w:p>
    <w:p>
      <w:r>
        <w:rPr>
          <w:rFonts w:ascii="Courier New" w:hAnsi="Courier New"/>
          <w:sz w:val="17"/>
        </w:rPr>
        <w:t xml:space="preserve">5.2.4 Zur Ermittlung des GdS aus den Schwerhörigkeitsgraden für beide Ohren:</w:t>
      </w:r>
    </w:p>
    <w:p>
      <w:pPr>
        <w:ind w:left="780"/>
      </w:pPr>
      <w:r>
        <w:t xml:space="preserve">Tabelle D</w:t>
      </w:r>
    </w:p>
    <w:p>
      <w:r>
        <w:rPr>
          <w:rFonts w:ascii="Courier New" w:hAnsi="Courier New"/>
          <w:sz w:val="17"/>
        </w:rPr>
        <w:t xml:space="preserve">Rechtes Ohr    Normalhörigkeit    0 - 20    0    0    10    10    15    20</w:t>
      </w:r>
    </w:p>
    <w:p>
      <w:r>
        <w:rPr>
          <w:rFonts w:ascii="Courier New" w:hAnsi="Courier New"/>
          <w:sz w:val="17"/>
        </w:rPr>
        <w:t xml:space="preserve">            10                </w:t>
      </w:r>
    </w:p>
    <w:p>
      <w:r>
        <w:rPr>
          <w:rFonts w:ascii="Courier New" w:hAnsi="Courier New"/>
          <w:sz w:val="17"/>
        </w:rPr>
        <w:t xml:space="preserve">Geringgradige Schwerhörigkeit    20 - 40    0    15    20    20    30    30</w:t>
      </w:r>
    </w:p>
    <w:p>
      <w:r>
        <w:rPr>
          <w:rFonts w:ascii="Courier New" w:hAnsi="Courier New"/>
          <w:sz w:val="17"/>
        </w:rPr>
        <w:t xml:space="preserve">                20            </w:t>
      </w:r>
    </w:p>
    <w:p>
      <w:r>
        <w:rPr>
          <w:rFonts w:ascii="Courier New" w:hAnsi="Courier New"/>
          <w:sz w:val="17"/>
        </w:rPr>
        <w:t xml:space="preserve">Mittelgradige Schwerhörigkeit    40 - 60    10    20    30    30    40    40</w:t>
      </w:r>
    </w:p>
    <w:p>
      <w:r>
        <w:rPr>
          <w:rFonts w:ascii="Courier New" w:hAnsi="Courier New"/>
          <w:sz w:val="17"/>
        </w:rPr>
        <w:t xml:space="preserve">                    40        </w:t>
      </w:r>
    </w:p>
    <w:p>
      <w:r>
        <w:rPr>
          <w:rFonts w:ascii="Courier New" w:hAnsi="Courier New"/>
          <w:sz w:val="17"/>
        </w:rPr>
        <w:t xml:space="preserve">Hochgradige Schwerhörigkeit    60-80    10    20    30    50    50    50</w:t>
      </w:r>
    </w:p>
    <w:p>
      <w:r>
        <w:rPr>
          <w:rFonts w:ascii="Courier New" w:hAnsi="Courier New"/>
          <w:sz w:val="17"/>
        </w:rPr>
        <w:t xml:space="preserve">                        60    </w:t>
      </w:r>
    </w:p>
    <w:p>
      <w:r>
        <w:rPr>
          <w:rFonts w:ascii="Courier New" w:hAnsi="Courier New"/>
          <w:sz w:val="17"/>
        </w:rPr>
        <w:t xml:space="preserve">An Taubheit grenzende Schwerhörigkeit    80 - 95    15    30    40    50    70    70</w:t>
      </w:r>
    </w:p>
    <w:p>
      <w:r>
        <w:rPr>
          <w:rFonts w:ascii="Courier New" w:hAnsi="Courier New"/>
          <w:sz w:val="17"/>
        </w:rPr>
        <w:t xml:space="preserve">                            80</w:t>
      </w:r>
    </w:p>
    <w:p>
      <w:r>
        <w:rPr>
          <w:rFonts w:ascii="Courier New" w:hAnsi="Courier New"/>
          <w:sz w:val="17"/>
        </w:rPr>
        <w:t xml:space="preserve">Taubheit    100    20    30    40    50    70    80</w:t>
      </w:r>
    </w:p>
    <w:p>
      <w:r>
        <w:rPr>
          <w:rFonts w:ascii="Courier New" w:hAnsi="Courier New"/>
          <w:sz w:val="17"/>
        </w:rPr>
        <w:t xml:space="preserve">        Hörverlust in Prozent    0 - 20    20 - 40    40 - 60    60 - 80    80 - 95    100</w:t>
      </w:r>
    </w:p>
    <w:p>
      <w:r>
        <w:rPr>
          <w:rFonts w:ascii="Courier New" w:hAnsi="Courier New"/>
          <w:sz w:val="17"/>
        </w:rPr>
        <w:t xml:space="preserve">            Normalhörigkeit    Geringgradige Schwerhörigkeit    Mittelgradige Schwerhörigkeit    Hochgradige Schwerhörigkeit    An Taubheit grenzende Schwerhörigkeit    Taubheit</w:t>
      </w:r>
    </w:p>
    <w:p>
      <w:r>
        <w:rPr>
          <w:rFonts w:ascii="Courier New" w:hAnsi="Courier New"/>
          <w:sz w:val="17"/>
        </w:rPr>
        <w:t xml:space="preserve">    Linkes Ohr</w:t>
      </w:r>
    </w:p>
    <w:p>
      <w:r>
        <w:rPr>
          <w:rFonts w:ascii="Courier New" w:hAnsi="Courier New"/>
          <w:sz w:val="17"/>
        </w:rPr>
        <w:t xml:space="preserve">5.3 Gleichgewichtsstörungen    </w:t>
      </w:r>
    </w:p>
    <w:p>
      <w:r>
        <w:rPr>
          <w:rFonts w:ascii="Courier New" w:hAnsi="Courier New"/>
          <w:sz w:val="17"/>
        </w:rPr>
        <w:t xml:space="preserve">    (Normabweichungen in den apparativ erhobenen neurootologischen Untersuchungsbefunden bedingen für sich allein noch keinen GdS)    </w:t>
      </w:r>
    </w:p>
    <w:p>
      <w:r>
        <w:rPr>
          <w:rFonts w:ascii="Courier New" w:hAnsi="Courier New"/>
          <w:sz w:val="17"/>
        </w:rPr>
        <w:t xml:space="preserve">    ohne wesentliche Folgen    </w:t>
      </w:r>
    </w:p>
    <w:p>
      <w:r>
        <w:rPr>
          <w:rFonts w:ascii="Courier New" w:hAnsi="Courier New"/>
          <w:sz w:val="17"/>
        </w:rPr>
        <w:t xml:space="preserve">        beschwerdefrei, allenfalls Gefühl der Unsicherheit bei alltäglichen Belastungen (z. B. Gehen, Bücken, Aufrichten, Kopfdrehungen, leichte Arbeiten in wechselnder Körperhaltung) leichte Unsicherheit, geringe Schwindelerscheinungen (Schwanken) bei höheren Belastungen (z. B. Heben von Lasten, Gehen im Dunkeln, abrupte Körperbewegungen) stärkere Unsicherheit mit Schwindelerscheinungen (Fallneigung, Ziehen nach einer Seite) erst bei außergewöhnlichen Belastungen (z. B. Stehen und Gehen auf Gerüsten, sportliche Übungen mit raschen Körperbewegungen) keine nennenswerten Abweichungen bei den Geh- und Stehversuchen    0-10</w:t>
      </w:r>
    </w:p>
    <w:p>
      <w:r>
        <w:rPr>
          <w:rFonts w:ascii="Courier New" w:hAnsi="Courier New"/>
          <w:sz w:val="17"/>
        </w:rPr>
        <w:t xml:space="preserve">    mit leichten Folgen    </w:t>
      </w:r>
    </w:p>
    <w:p>
      <w:r>
        <w:rPr>
          <w:rFonts w:ascii="Courier New" w:hAnsi="Courier New"/>
          <w:sz w:val="17"/>
        </w:rPr>
        <w:t xml:space="preserve">        leichte Unsicherheit, geringe Schwindelerscheinungen wie Schwanken, Stolpern, Ausfallsschritte bei alltäglichen Belastungen, stärkere Unsicherheit und Schwindelerscheinungen bei höheren Belastungen leichte Abweichungen bei den Geh- und Stehversuchen erst auf höherer Belastungsstufe    20</w:t>
      </w:r>
    </w:p>
    <w:p>
      <w:r>
        <w:rPr>
          <w:rFonts w:ascii="Courier New" w:hAnsi="Courier New"/>
          <w:sz w:val="17"/>
        </w:rPr>
        <w:t xml:space="preserve">    mit mittelgradigen Folgen    </w:t>
      </w:r>
    </w:p>
    <w:p>
      <w:r>
        <w:rPr>
          <w:rFonts w:ascii="Courier New" w:hAnsi="Courier New"/>
          <w:sz w:val="17"/>
        </w:rPr>
        <w:t xml:space="preserve">        stärkere Unsicherheit, Schwindelerscheinungen mit Fallneigung bereits bei alltäglichen Belastungen, heftiger Schwindel (mit vegetativen Erscheinungen, gelegentlich Übelkeit, Erbrechen) bei höheren und außergewöhnlichen Belastungen deutliche Abweichungen bei den Geh- und Stehversuchen bereits auf niedriger Belastungsstufe    30-40</w:t>
      </w:r>
    </w:p>
    <w:p>
      <w:r>
        <w:rPr>
          <w:rFonts w:ascii="Courier New" w:hAnsi="Courier New"/>
          <w:sz w:val="17"/>
        </w:rPr>
        <w:t xml:space="preserve">    mit schweren Folgen    </w:t>
      </w:r>
    </w:p>
    <w:p>
      <w:r>
        <w:rPr>
          <w:rFonts w:ascii="Courier New" w:hAnsi="Courier New"/>
          <w:sz w:val="17"/>
        </w:rPr>
        <w:t xml:space="preserve">        heftiger Schwindel, erhebliche Unsicherheit und Schwierigkeiten bereits beim Gehen und Stehen im Hellen und bei anderen alltäglichen Belastungen, teilweise Gehhilfe erforderlich    50-70</w:t>
      </w:r>
    </w:p>
    <w:p>
      <w:r>
        <w:rPr>
          <w:rFonts w:ascii="Courier New" w:hAnsi="Courier New"/>
          <w:sz w:val="17"/>
        </w:rPr>
        <w:t xml:space="preserve">    bei Unfähigkeit, ohne Unterstützung zu gehen oder zu stehen    80</w:t>
      </w:r>
    </w:p>
    <w:p>
      <w:r>
        <w:rPr>
          <w:rFonts w:ascii="Courier New" w:hAnsi="Courier New"/>
          <w:sz w:val="17"/>
        </w:rPr>
        <w:t xml:space="preserve">Ohrgeräusche (Tinnitus)    </w:t>
      </w:r>
    </w:p>
    <w:p>
      <w:r>
        <w:rPr>
          <w:rFonts w:ascii="Courier New" w:hAnsi="Courier New"/>
          <w:sz w:val="17"/>
        </w:rPr>
        <w:t xml:space="preserve">    ohne nennenswerte psychische Begleiterscheinungen    0-10</w:t>
      </w:r>
    </w:p>
    <w:p>
      <w:r>
        <w:rPr>
          <w:rFonts w:ascii="Courier New" w:hAnsi="Courier New"/>
          <w:sz w:val="17"/>
        </w:rPr>
        <w:t xml:space="preserve">    mit erheblichen psychovegetativen Begleiterscheinungen    20</w:t>
      </w:r>
    </w:p>
    <w:p>
      <w:r>
        <w:rPr>
          <w:rFonts w:ascii="Courier New" w:hAnsi="Courier New"/>
          <w:sz w:val="17"/>
        </w:rPr>
        <w:t xml:space="preserve">    mit wesentlicher Einschränkung der Erlebnis- und Gestaltungsfähigkeit (z. B. ausgeprägte depressive Störungen)    30-40</w:t>
      </w:r>
    </w:p>
    <w:p>
      <w:r>
        <w:rPr>
          <w:rFonts w:ascii="Courier New" w:hAnsi="Courier New"/>
          <w:sz w:val="17"/>
        </w:rPr>
        <w:t xml:space="preserve">    mit schweren psychischen Störungen und sozialen Anpassungsschwierigkeiten    mindestens 50</w:t>
      </w:r>
    </w:p>
    <w:p>
      <w:r>
        <w:rPr>
          <w:rFonts w:ascii="Courier New" w:hAnsi="Courier New"/>
          <w:sz w:val="17"/>
        </w:rPr>
        <w:t xml:space="preserve">Menière-Krankheit    </w:t>
      </w:r>
    </w:p>
    <w:p>
      <w:r>
        <w:rPr>
          <w:rFonts w:ascii="Courier New" w:hAnsi="Courier New"/>
          <w:sz w:val="17"/>
        </w:rPr>
        <w:t xml:space="preserve">    ein bis zwei Anfälle im Jahr    0-10</w:t>
      </w:r>
    </w:p>
    <w:p>
      <w:r>
        <w:rPr>
          <w:rFonts w:ascii="Courier New" w:hAnsi="Courier New"/>
          <w:sz w:val="17"/>
        </w:rPr>
        <w:t xml:space="preserve">    häufigere Anfälle, je nach Schweregrad    20-40</w:t>
      </w:r>
    </w:p>
    <w:p>
      <w:r>
        <w:rPr>
          <w:rFonts w:ascii="Courier New" w:hAnsi="Courier New"/>
          <w:sz w:val="17"/>
        </w:rPr>
        <w:t xml:space="preserve">    mehrmals monatlich schwere Anfälle    50</w:t>
      </w:r>
    </w:p>
    <w:p>
      <w:r>
        <w:rPr>
          <w:rFonts w:ascii="Courier New" w:hAnsi="Courier New"/>
          <w:sz w:val="17"/>
        </w:rPr>
        <w:t xml:space="preserve">    Bleibende Hörstörungen und Ohrgeräusche (Tinnitus) sind zusätzlich zu bewerten.</w:t>
      </w:r>
    </w:p>
    <w:p>
      <w:r>
        <w:rPr>
          <w:rFonts w:ascii="Courier New" w:hAnsi="Courier New"/>
          <w:sz w:val="17"/>
        </w:rPr>
        <w:t xml:space="preserve">5.4 Chronische Mittelohrentzündung    </w:t>
      </w:r>
    </w:p>
    <w:p>
      <w:r>
        <w:rPr>
          <w:rFonts w:ascii="Courier New" w:hAnsi="Courier New"/>
          <w:sz w:val="17"/>
        </w:rPr>
        <w:t xml:space="preserve">    ohne Sekretion oder einseitige zeitweise Sekretion    0</w:t>
      </w:r>
    </w:p>
    <w:p>
      <w:r>
        <w:rPr>
          <w:rFonts w:ascii="Courier New" w:hAnsi="Courier New"/>
          <w:sz w:val="17"/>
        </w:rPr>
        <w:t xml:space="preserve">    einseitige andauernde Sekretion oder zeitweise beidseitige Sekretion    10</w:t>
      </w:r>
    </w:p>
    <w:p>
      <w:r>
        <w:rPr>
          <w:rFonts w:ascii="Courier New" w:hAnsi="Courier New"/>
          <w:sz w:val="17"/>
        </w:rPr>
        <w:t xml:space="preserve">    andauernd beidseitige Sekretion    20</w:t>
      </w:r>
    </w:p>
    <w:p>
      <w:r>
        <w:rPr>
          <w:rFonts w:ascii="Courier New" w:hAnsi="Courier New"/>
          <w:sz w:val="17"/>
        </w:rPr>
        <w:t xml:space="preserve">Radikaloperationshöhle    </w:t>
      </w:r>
    </w:p>
    <w:p>
      <w:r>
        <w:rPr>
          <w:rFonts w:ascii="Courier New" w:hAnsi="Courier New"/>
          <w:sz w:val="17"/>
        </w:rPr>
        <w:t xml:space="preserve">    reizlos    0</w:t>
      </w:r>
    </w:p>
    <w:p>
      <w:r>
        <w:rPr>
          <w:rFonts w:ascii="Courier New" w:hAnsi="Courier New"/>
          <w:sz w:val="17"/>
        </w:rPr>
        <w:t xml:space="preserve">    bei unvollständiger Überhäutung und ständiger Sekretion    </w:t>
      </w:r>
    </w:p>
    <w:p>
      <w:r>
        <w:rPr>
          <w:rFonts w:ascii="Courier New" w:hAnsi="Courier New"/>
          <w:sz w:val="17"/>
        </w:rPr>
        <w:t xml:space="preserve">        einseitig    10</w:t>
      </w:r>
    </w:p>
    <w:p>
      <w:r>
        <w:rPr>
          <w:rFonts w:ascii="Courier New" w:hAnsi="Courier New"/>
          <w:sz w:val="17"/>
        </w:rPr>
        <w:t xml:space="preserve">        beidseitig    20</w:t>
      </w:r>
    </w:p>
    <w:p>
      <w:r>
        <w:rPr>
          <w:rFonts w:ascii="Courier New" w:hAnsi="Courier New"/>
          <w:sz w:val="17"/>
        </w:rPr>
        <w:t xml:space="preserve">5.5 Verlust einer Ohrmuschel    20</w:t>
      </w:r>
    </w:p>
    <w:p>
      <w:pPr>
        <w:ind w:left="420"/>
      </w:pPr>
      <w:r>
        <w:t xml:space="preserve">6. Nase</w:t>
      </w:r>
    </w:p>
    <w:p>
      <w:r>
        <w:rPr>
          <w:rFonts w:ascii="Courier New" w:hAnsi="Courier New"/>
          <w:sz w:val="17"/>
        </w:rPr>
        <w:t xml:space="preserve">6.1 Völliger Verlust der Nase    50</w:t>
      </w:r>
    </w:p>
    <w:p>
      <w:r>
        <w:rPr>
          <w:rFonts w:ascii="Courier New" w:hAnsi="Courier New"/>
          <w:sz w:val="17"/>
        </w:rPr>
        <w:t xml:space="preserve">Teilverlust der Nase, Sattelnase    </w:t>
      </w:r>
    </w:p>
    <w:p>
      <w:r>
        <w:rPr>
          <w:rFonts w:ascii="Courier New" w:hAnsi="Courier New"/>
          <w:sz w:val="17"/>
        </w:rPr>
        <w:t xml:space="preserve">    wenig störend    10</w:t>
      </w:r>
    </w:p>
    <w:p>
      <w:r>
        <w:rPr>
          <w:rFonts w:ascii="Courier New" w:hAnsi="Courier New"/>
          <w:sz w:val="17"/>
        </w:rPr>
        <w:t xml:space="preserve">    sonst    20-30</w:t>
      </w:r>
    </w:p>
    <w:p>
      <w:r>
        <w:rPr>
          <w:rFonts w:ascii="Courier New" w:hAnsi="Courier New"/>
          <w:sz w:val="17"/>
        </w:rPr>
        <w:t xml:space="preserve">6.2 Stinknase (Ozaena), je nach Ausmaß der Borkenbildung und    </w:t>
      </w:r>
    </w:p>
    <w:p>
      <w:r>
        <w:rPr>
          <w:rFonts w:ascii="Courier New" w:hAnsi="Courier New"/>
          <w:sz w:val="17"/>
        </w:rPr>
        <w:t xml:space="preserve">des Foetors    20-40</w:t>
      </w:r>
    </w:p>
    <w:p>
      <w:r>
        <w:rPr>
          <w:rFonts w:ascii="Courier New" w:hAnsi="Courier New"/>
          <w:sz w:val="17"/>
        </w:rPr>
        <w:t xml:space="preserve">Verengung der Nasengänge    </w:t>
      </w:r>
    </w:p>
    <w:p>
      <w:r>
        <w:rPr>
          <w:rFonts w:ascii="Courier New" w:hAnsi="Courier New"/>
          <w:sz w:val="17"/>
        </w:rPr>
        <w:t xml:space="preserve">    einseitig je nach Atembehinderung    0-10</w:t>
      </w:r>
    </w:p>
    <w:p>
      <w:r>
        <w:rPr>
          <w:rFonts w:ascii="Courier New" w:hAnsi="Courier New"/>
          <w:sz w:val="17"/>
        </w:rPr>
        <w:t xml:space="preserve">    doppelseitig mit leichter bis mittelgradiger Atembehinderung    10</w:t>
      </w:r>
    </w:p>
    <w:p>
      <w:r>
        <w:rPr>
          <w:rFonts w:ascii="Courier New" w:hAnsi="Courier New"/>
          <w:sz w:val="17"/>
        </w:rPr>
        <w:t xml:space="preserve">    doppelseitig mit starker Atembehinderung    20</w:t>
      </w:r>
    </w:p>
    <w:p>
      <w:r>
        <w:rPr>
          <w:rFonts w:ascii="Courier New" w:hAnsi="Courier New"/>
          <w:sz w:val="17"/>
        </w:rPr>
        <w:t xml:space="preserve">Chronische Nebenhöhlenentzündung    </w:t>
      </w:r>
    </w:p>
    <w:p>
      <w:r>
        <w:rPr>
          <w:rFonts w:ascii="Courier New" w:hAnsi="Courier New"/>
          <w:sz w:val="17"/>
        </w:rPr>
        <w:t xml:space="preserve">    leichteren Grades    </w:t>
      </w:r>
    </w:p>
    <w:p>
      <w:r>
        <w:rPr>
          <w:rFonts w:ascii="Courier New" w:hAnsi="Courier New"/>
          <w:sz w:val="17"/>
        </w:rPr>
        <w:t xml:space="preserve">    (ohne wesentliche Neben- und Folgeerscheinungen)    0-10</w:t>
      </w:r>
    </w:p>
    <w:p>
      <w:r>
        <w:rPr>
          <w:rFonts w:ascii="Courier New" w:hAnsi="Courier New"/>
          <w:sz w:val="17"/>
        </w:rPr>
        <w:t xml:space="preserve">    schweren Grades    </w:t>
      </w:r>
    </w:p>
    <w:p>
      <w:r>
        <w:rPr>
          <w:rFonts w:ascii="Courier New" w:hAnsi="Courier New"/>
          <w:sz w:val="17"/>
        </w:rPr>
        <w:t xml:space="preserve">    (ständige erhebliche Eiterabsonderung, Trigeminusreizerscheinungen, Polypenbildung)    20-40</w:t>
      </w:r>
    </w:p>
    <w:p>
      <w:r>
        <w:rPr>
          <w:rFonts w:ascii="Courier New" w:hAnsi="Courier New"/>
          <w:sz w:val="17"/>
        </w:rPr>
        <w:t xml:space="preserve">6.3 Völliger Verlust des Riechvermögens mit der damit verbundenen    </w:t>
      </w:r>
    </w:p>
    <w:p>
      <w:r>
        <w:rPr>
          <w:rFonts w:ascii="Courier New" w:hAnsi="Courier New"/>
          <w:sz w:val="17"/>
        </w:rPr>
        <w:t xml:space="preserve">    Beeinträchtigung der Geschmackswahrnehmung    15</w:t>
      </w:r>
    </w:p>
    <w:p>
      <w:r>
        <w:rPr>
          <w:rFonts w:ascii="Courier New" w:hAnsi="Courier New"/>
          <w:sz w:val="17"/>
        </w:rPr>
        <w:t xml:space="preserve">    Völliger Verlust des Geschmackssinns    10</w:t>
      </w:r>
    </w:p>
    <w:p>
      <w:pPr>
        <w:ind w:left="420"/>
      </w:pPr>
      <w:r>
        <w:t xml:space="preserve">7. Mundhöhle, Rachenraum und obere Luftwege</w:t>
      </w:r>
    </w:p>
    <w:p>
      <w:r>
        <w:rPr>
          <w:rFonts w:ascii="Courier New" w:hAnsi="Courier New"/>
          <w:sz w:val="17"/>
        </w:rPr>
        <w:t xml:space="preserve">Verletzungs- und Erkrankungsfolgen an den Kiefern, Kiefergelenken und Weichteilen der Mundhöhle, einschließlich der Zunge und der Speicheldrüsen, sind nach dem Grad ihrer Auswirkung auf Sprech-, Kau- und Schluckvermögen zu beurteilen. Eine Gesichtsentstellung ist gesondert zu berücksichtigen.</w:t>
      </w:r>
    </w:p>
    <w:p>
      <w:r>
        <w:rPr>
          <w:rFonts w:ascii="Courier New" w:hAnsi="Courier New"/>
          <w:sz w:val="17"/>
        </w:rPr>
        <w:t xml:space="preserve">7.1 Lippendefekt mit ständigem Speichelfluss    20-30</w:t>
      </w:r>
    </w:p>
    <w:p>
      <w:r>
        <w:rPr>
          <w:rFonts w:ascii="Courier New" w:hAnsi="Courier New"/>
          <w:sz w:val="17"/>
        </w:rPr>
        <w:t xml:space="preserve">Äußere Speichelfistel, Frey-Syndrom    </w:t>
      </w:r>
    </w:p>
    <w:p>
      <w:r>
        <w:rPr>
          <w:rFonts w:ascii="Courier New" w:hAnsi="Courier New"/>
          <w:sz w:val="17"/>
        </w:rPr>
        <w:t xml:space="preserve">    geringe Sekretion    10</w:t>
      </w:r>
    </w:p>
    <w:p>
      <w:r>
        <w:rPr>
          <w:rFonts w:ascii="Courier New" w:hAnsi="Courier New"/>
          <w:sz w:val="17"/>
        </w:rPr>
        <w:t xml:space="preserve">    sonst    20</w:t>
      </w:r>
    </w:p>
    <w:p>
      <w:r>
        <w:rPr>
          <w:rFonts w:ascii="Courier New" w:hAnsi="Courier New"/>
          <w:sz w:val="17"/>
        </w:rPr>
        <w:t xml:space="preserve">Störung der Speichelsekretion    </w:t>
      </w:r>
    </w:p>
    <w:p>
      <w:r>
        <w:rPr>
          <w:rFonts w:ascii="Courier New" w:hAnsi="Courier New"/>
          <w:sz w:val="17"/>
        </w:rPr>
        <w:t xml:space="preserve">(vermehrter Speichelfluss, Mundtrockenheit)    0-20</w:t>
      </w:r>
    </w:p>
    <w:p>
      <w:r>
        <w:rPr>
          <w:rFonts w:ascii="Courier New" w:hAnsi="Courier New"/>
          <w:sz w:val="17"/>
        </w:rPr>
        <w:t xml:space="preserve">7.2 Schwere Funktionsstörung der Zunge durch Gewebsverlust, narbige Fixierung oder Lähmung je nach Umfang und Artikulationsstörung    30-50</w:t>
      </w:r>
    </w:p>
    <w:p>
      <w:r>
        <w:rPr>
          <w:rFonts w:ascii="Courier New" w:hAnsi="Courier New"/>
          <w:sz w:val="17"/>
        </w:rPr>
        <w:t xml:space="preserve">Behinderung der Mundöffnung(Schneidekantendistanz zwischen 5 und 25 mm) mit deutlicher Auswirkung auf die Nahrungsaufnahme    20-40</w:t>
      </w:r>
    </w:p>
    <w:p>
      <w:r>
        <w:rPr>
          <w:rFonts w:ascii="Courier New" w:hAnsi="Courier New"/>
          <w:sz w:val="17"/>
        </w:rPr>
        <w:t xml:space="preserve">Kieferklemme mit Notwendigkeit der Aufnahme flüssiger oder passierter Nahrung und entsprechenden Sprechstörungen    50</w:t>
      </w:r>
    </w:p>
    <w:p>
      <w:r>
        <w:rPr>
          <w:rFonts w:ascii="Courier New" w:hAnsi="Courier New"/>
          <w:sz w:val="17"/>
        </w:rPr>
        <w:t xml:space="preserve">7.3 Verlust eines Teiles des Unterkiefers mit schlaffer Pseudarthrose    </w:t>
      </w:r>
    </w:p>
    <w:p>
      <w:r>
        <w:rPr>
          <w:rFonts w:ascii="Courier New" w:hAnsi="Courier New"/>
          <w:sz w:val="17"/>
        </w:rPr>
        <w:t xml:space="preserve">    ohne wesentliche Beeinträchtigung der Kaufunktion und Artikulation    0-10</w:t>
      </w:r>
    </w:p>
    <w:p>
      <w:r>
        <w:rPr>
          <w:rFonts w:ascii="Courier New" w:hAnsi="Courier New"/>
          <w:sz w:val="17"/>
        </w:rPr>
        <w:t xml:space="preserve">    mit erheblicher Beeinträchtigung der Kaufunktion und Artikulation    20-50</w:t>
      </w:r>
    </w:p>
    <w:p>
      <w:r>
        <w:rPr>
          <w:rFonts w:ascii="Courier New" w:hAnsi="Courier New"/>
          <w:sz w:val="17"/>
        </w:rPr>
        <w:t xml:space="preserve">Verlust eines Teiles des Oberkiefers    </w:t>
      </w:r>
    </w:p>
    <w:p>
      <w:r>
        <w:rPr>
          <w:rFonts w:ascii="Courier New" w:hAnsi="Courier New"/>
          <w:sz w:val="17"/>
        </w:rPr>
        <w:t xml:space="preserve">    ohne wesentliche kosmetische und funktionelle Beeinträchtigung    0-10</w:t>
      </w:r>
    </w:p>
    <w:p>
      <w:r>
        <w:rPr>
          <w:rFonts w:ascii="Courier New" w:hAnsi="Courier New"/>
          <w:sz w:val="17"/>
        </w:rPr>
        <w:t xml:space="preserve">    mit entstellender Wirkung, wesentlicher Beeinträchtigung der Nasen- und Nebenhöhlen (Borkenbildung, ständige Sekretion)    20-40</w:t>
      </w:r>
    </w:p>
    <w:p>
      <w:r>
        <w:rPr>
          <w:rFonts w:ascii="Courier New" w:hAnsi="Courier New"/>
          <w:sz w:val="17"/>
        </w:rPr>
        <w:t xml:space="preserve">7.4 Umfassender Zahnverlust    </w:t>
      </w:r>
    </w:p>
    <w:p>
      <w:r>
        <w:rPr>
          <w:rFonts w:ascii="Courier New" w:hAnsi="Courier New"/>
          <w:sz w:val="17"/>
        </w:rPr>
        <w:t xml:space="preserve">über 1/2 Jahr hinaus prothetisch nur unzureichend zu versorgen    10-20</w:t>
      </w:r>
    </w:p>
    <w:p>
      <w:r>
        <w:rPr>
          <w:rFonts w:ascii="Courier New" w:hAnsi="Courier New"/>
          <w:sz w:val="17"/>
        </w:rPr>
        <w:t xml:space="preserve">Verlust erheblicher Teile des Alveolarfortsatzes mit wesentlicher, prothetisch nicht voll ausgleichbarer Funktionsbehinderung    20</w:t>
      </w:r>
    </w:p>
    <w:p>
      <w:r>
        <w:rPr>
          <w:rFonts w:ascii="Courier New" w:hAnsi="Courier New"/>
          <w:sz w:val="17"/>
        </w:rPr>
        <w:t xml:space="preserve">7.5 Ausgedehnter Defekt des Gaumens mit gut sitzender    </w:t>
      </w:r>
    </w:p>
    <w:p>
      <w:r>
        <w:rPr>
          <w:rFonts w:ascii="Courier New" w:hAnsi="Courier New"/>
          <w:sz w:val="17"/>
        </w:rPr>
        <w:t xml:space="preserve">Defektprothese    30</w:t>
      </w:r>
    </w:p>
    <w:p>
      <w:r>
        <w:rPr>
          <w:rFonts w:ascii="Courier New" w:hAnsi="Courier New"/>
          <w:sz w:val="17"/>
        </w:rPr>
        <w:t xml:space="preserve">Verlust des Gaumens ohne Korrekturmöglichkeit durch geeignete Prothese (Störung der Nahrungsaufnahme)    50</w:t>
      </w:r>
    </w:p>
    <w:p>
      <w:r>
        <w:rPr>
          <w:rFonts w:ascii="Courier New" w:hAnsi="Courier New"/>
          <w:sz w:val="17"/>
        </w:rPr>
        <w:t xml:space="preserve">7.6 Lippen-, Kiefer-, Gaumen- und Segelspalten bei Kindern, bis zum Abschluss der Behandlung    </w:t>
      </w:r>
    </w:p>
    <w:p>
      <w:r>
        <w:rPr>
          <w:rFonts w:ascii="Courier New" w:hAnsi="Courier New"/>
          <w:sz w:val="17"/>
        </w:rPr>
        <w:t xml:space="preserve">    Isolierte voll ausgebildete Lippenspalte (ein- oder beidseitig)    </w:t>
      </w:r>
    </w:p>
    <w:p>
      <w:r>
        <w:rPr>
          <w:rFonts w:ascii="Courier New" w:hAnsi="Courier New"/>
          <w:sz w:val="17"/>
        </w:rPr>
        <w:t xml:space="preserve">        bis zum Abschluss der Behandlung (in der Regel ein Jahr nach der Operation) je nach Trinkstörung, Beeinträchtigung der mimischen Muskulatur und Störung der Lautbildung    30-50</w:t>
      </w:r>
    </w:p>
    <w:p>
      <w:r>
        <w:rPr>
          <w:rFonts w:ascii="Courier New" w:hAnsi="Courier New"/>
          <w:sz w:val="17"/>
        </w:rPr>
        <w:t xml:space="preserve">    Lippen-Kieferspalte    </w:t>
      </w:r>
    </w:p>
    <w:p>
      <w:r>
        <w:rPr>
          <w:rFonts w:ascii="Courier New" w:hAnsi="Courier New"/>
          <w:sz w:val="17"/>
        </w:rPr>
        <w:t xml:space="preserve">        bis zum Abschluss der Erstbehandlung (in der Regel ein Jahr nach der Operation)    60-70</w:t>
      </w:r>
    </w:p>
    <w:p>
      <w:r>
        <w:rPr>
          <w:rFonts w:ascii="Courier New" w:hAnsi="Courier New"/>
          <w:sz w:val="17"/>
        </w:rPr>
        <w:t xml:space="preserve">        bis zum Verschluss der Kieferspalte    50</w:t>
      </w:r>
    </w:p>
    <w:p>
      <w:r>
        <w:rPr>
          <w:rFonts w:ascii="Courier New" w:hAnsi="Courier New"/>
          <w:sz w:val="17"/>
        </w:rPr>
        <w:t xml:space="preserve">    Lippen-Kiefer-Gaumenspalte    </w:t>
      </w:r>
    </w:p>
    <w:p>
      <w:r>
        <w:rPr>
          <w:rFonts w:ascii="Courier New" w:hAnsi="Courier New"/>
          <w:sz w:val="17"/>
        </w:rPr>
        <w:t xml:space="preserve">        bis zum Abschluss der Erstbehandlung (in der Regel ein Jahr nach der Operation) unter Mitberücksichtigung der regelhaft damit verbundenen Hörstörung (Tubenfehlbelüftung) und der Störung der Nasenatmung    100</w:t>
      </w:r>
    </w:p>
    <w:p>
      <w:r>
        <w:rPr>
          <w:rFonts w:ascii="Courier New" w:hAnsi="Courier New"/>
          <w:sz w:val="17"/>
        </w:rPr>
        <w:t xml:space="preserve">        bis zum Verschluss der Kieferspalte    50</w:t>
      </w:r>
    </w:p>
    <w:p>
      <w:r>
        <w:rPr>
          <w:rFonts w:ascii="Courier New" w:hAnsi="Courier New"/>
          <w:sz w:val="17"/>
        </w:rPr>
        <w:t xml:space="preserve">    Komplette Gaumen- und Segelspalte ohne Kieferspalte    </w:t>
      </w:r>
    </w:p>
    <w:p>
      <w:r>
        <w:rPr>
          <w:rFonts w:ascii="Courier New" w:hAnsi="Courier New"/>
          <w:sz w:val="17"/>
        </w:rPr>
        <w:t xml:space="preserve">        wegen der bis zum Abschluss der Erstbehandlung (in der Regel ein Jahr nach der Operation) bestehenden mit der Lippen-Kiefer-Gaumenspalte vergleichbaren Auswirkungen    100</w:t>
      </w:r>
    </w:p>
    <w:p>
      <w:r>
        <w:rPr>
          <w:rFonts w:ascii="Courier New" w:hAnsi="Courier New"/>
          <w:sz w:val="17"/>
        </w:rPr>
        <w:t xml:space="preserve">        Isolierte Segelspalte, submuköse Gaumenspalte bis zum Abschluss der Behandlung je nach Ausmaß der Artikulationsstörung    0-30</w:t>
      </w:r>
    </w:p>
    <w:p>
      <w:r>
        <w:rPr>
          <w:rFonts w:ascii="Courier New" w:hAnsi="Courier New"/>
          <w:sz w:val="17"/>
        </w:rPr>
        <w:t xml:space="preserve">    Ausgeprägte Hörstörungen sind ggf. zusätzlich zu berücksichtigen.Nach Abschluss der Behandlung richtet sich der GdS immer nach der verbliebenen Gesundheitsstörung.    </w:t>
      </w:r>
    </w:p>
    <w:p>
      <w:r>
        <w:rPr>
          <w:rFonts w:ascii="Courier New" w:hAnsi="Courier New"/>
          <w:sz w:val="17"/>
        </w:rPr>
        <w:t xml:space="preserve">7.7 Schluckstörungen    </w:t>
      </w:r>
    </w:p>
    <w:p>
      <w:r>
        <w:rPr>
          <w:rFonts w:ascii="Courier New" w:hAnsi="Courier New"/>
          <w:sz w:val="17"/>
        </w:rPr>
        <w:t xml:space="preserve">    ohne wesentliche Behinderung der Nahrungsaufnahme je nach Beschwerden    0-10</w:t>
      </w:r>
    </w:p>
    <w:p>
      <w:r>
        <w:rPr>
          <w:rFonts w:ascii="Courier New" w:hAnsi="Courier New"/>
          <w:sz w:val="17"/>
        </w:rPr>
        <w:t xml:space="preserve">    mit erheblicher Behinderung der Nahrungsaufnahme je nach Auswirkung (Einschränkung der Kostform, verlängerte Essdauer)    20-40</w:t>
      </w:r>
    </w:p>
    <w:p>
      <w:r>
        <w:rPr>
          <w:rFonts w:ascii="Courier New" w:hAnsi="Courier New"/>
          <w:sz w:val="17"/>
        </w:rPr>
        <w:t xml:space="preserve">    mit häufiger Aspiration und erheblicher Beeinträchtigung des Kräfte- und Ernährungszustandes    50-70</w:t>
      </w:r>
    </w:p>
    <w:p>
      <w:r>
        <w:rPr>
          <w:rFonts w:ascii="Courier New" w:hAnsi="Courier New"/>
          <w:sz w:val="17"/>
        </w:rPr>
        <w:t xml:space="preserve">7.8 Verlust des Kehlkopfes    </w:t>
      </w:r>
    </w:p>
    <w:p>
      <w:r>
        <w:rPr>
          <w:rFonts w:ascii="Courier New" w:hAnsi="Courier New"/>
          <w:sz w:val="17"/>
        </w:rPr>
        <w:t xml:space="preserve">    bei guter Ersatzstimme und ohne Begleiterscheinungen, unter Mitberücksichtigung der Beeinträchtigung der körperlichen Leistungsfähigkeit (fehlende Bauchpresse)    70</w:t>
      </w:r>
    </w:p>
    <w:p>
      <w:r>
        <w:rPr>
          <w:rFonts w:ascii="Courier New" w:hAnsi="Courier New"/>
          <w:sz w:val="17"/>
        </w:rPr>
        <w:t xml:space="preserve">    in allen anderen Fällen    80</w:t>
      </w:r>
    </w:p>
    <w:p>
      <w:r>
        <w:rPr>
          <w:rFonts w:ascii="Courier New" w:hAnsi="Courier New"/>
          <w:sz w:val="17"/>
        </w:rPr>
        <w:t xml:space="preserve">Anhaltende schwere Bronchitiden und Beeinträchtigungen durch Nervenlähmungen im Hals- und Schulterbereich sind zusätzlich zu berücksichtigen.</w:t>
      </w:r>
    </w:p>
    <w:p>
      <w:r>
        <w:rPr>
          <w:rFonts w:ascii="Courier New" w:hAnsi="Courier New"/>
          <w:sz w:val="17"/>
        </w:rPr>
        <w:t xml:space="preserve">Bei Verlust des Kehlkopfes wegen eines malignen Tumors ist in den ersten fünf Jahren eine Heilungsbewährung abzuwarten;GdB bzw. GdS während dieser Zeit    100</w:t>
      </w:r>
    </w:p>
    <w:p>
      <w:r>
        <w:rPr>
          <w:rFonts w:ascii="Courier New" w:hAnsi="Courier New"/>
          <w:sz w:val="17"/>
        </w:rPr>
        <w:t xml:space="preserve">Teilverlust des Kehlkopfes    </w:t>
      </w:r>
    </w:p>
    <w:p>
      <w:r>
        <w:rPr>
          <w:rFonts w:ascii="Courier New" w:hAnsi="Courier New"/>
          <w:sz w:val="17"/>
        </w:rPr>
        <w:t xml:space="preserve">    je nach Sprechfähigkeit und Beeinträchtigung der körperlichen Leistungsfähigkeit    20-50</w:t>
      </w:r>
    </w:p>
    <w:p>
      <w:r>
        <w:rPr>
          <w:rFonts w:ascii="Courier New" w:hAnsi="Courier New"/>
          <w:sz w:val="17"/>
        </w:rPr>
        <w:t xml:space="preserve">Bei Teilverlust des Kehlkopfes wegen eines malignen Tumors ist in den ersten fünf Jahren eine Heilungsbewährung abzuwarten;GdS während dieser Zeit    </w:t>
      </w:r>
    </w:p>
    <w:p>
      <w:r>
        <w:rPr>
          <w:rFonts w:ascii="Courier New" w:hAnsi="Courier New"/>
          <w:sz w:val="17"/>
        </w:rPr>
        <w:t xml:space="preserve">    bei Geschwulstentfernung im Frühstadium (T1 N0 M0)    50-60</w:t>
      </w:r>
    </w:p>
    <w:p>
      <w:r>
        <w:rPr>
          <w:rFonts w:ascii="Courier New" w:hAnsi="Courier New"/>
          <w:sz w:val="17"/>
        </w:rPr>
        <w:t xml:space="preserve">    sonst    80</w:t>
      </w:r>
    </w:p>
    <w:p>
      <w:r>
        <w:rPr>
          <w:rFonts w:ascii="Courier New" w:hAnsi="Courier New"/>
          <w:sz w:val="17"/>
        </w:rPr>
        <w:t xml:space="preserve">7.9 Tracheostoma    </w:t>
      </w:r>
    </w:p>
    <w:p>
      <w:r>
        <w:rPr>
          <w:rFonts w:ascii="Courier New" w:hAnsi="Courier New"/>
          <w:sz w:val="17"/>
        </w:rPr>
        <w:t xml:space="preserve">    reizlos oder mit geringen Reizerscheinungen (Tracheitis, Bronchitis), gute Sprechstimme    40</w:t>
      </w:r>
    </w:p>
    <w:p>
      <w:r>
        <w:rPr>
          <w:rFonts w:ascii="Courier New" w:hAnsi="Courier New"/>
          <w:sz w:val="17"/>
        </w:rPr>
        <w:t xml:space="preserve">    mit erheblichen Reizerscheinungen und/oder erheblicher Beeinträchtigung der Sprechstimme bis zum Verlust der Sprechfähigkeit (z. B. bei schweren Kehlkopfveränderungen)    50-80</w:t>
      </w:r>
    </w:p>
    <w:p>
      <w:r>
        <w:rPr>
          <w:rFonts w:ascii="Courier New" w:hAnsi="Courier New"/>
          <w:sz w:val="17"/>
        </w:rPr>
        <w:t xml:space="preserve">Einschränkungen der Atemfunktion sind ggf. zusätzlich zu berücksichtigen.    </w:t>
      </w:r>
    </w:p>
    <w:p>
      <w:r>
        <w:rPr>
          <w:rFonts w:ascii="Courier New" w:hAnsi="Courier New"/>
          <w:sz w:val="17"/>
        </w:rPr>
        <w:t xml:space="preserve">Trachealstenose ohne Tracheostoma    </w:t>
      </w:r>
    </w:p>
    <w:p>
      <w:r>
        <w:rPr>
          <w:rFonts w:ascii="Courier New" w:hAnsi="Courier New"/>
          <w:sz w:val="17"/>
        </w:rPr>
        <w:t xml:space="preserve">    Der GdS ist je nach Atembehinderung analog der dauernden Einschränkung der Lungenfunktion zu beurteilen.    </w:t>
      </w:r>
    </w:p>
    <w:p>
      <w:r>
        <w:rPr>
          <w:rFonts w:ascii="Courier New" w:hAnsi="Courier New"/>
          <w:sz w:val="17"/>
        </w:rPr>
        <w:t xml:space="preserve">7.10 Funktionelle und organische Stimmstörungen (z. B. Stimmbandlähmung)    </w:t>
      </w:r>
    </w:p>
    <w:p>
      <w:r>
        <w:rPr>
          <w:rFonts w:ascii="Courier New" w:hAnsi="Courier New"/>
          <w:sz w:val="17"/>
        </w:rPr>
        <w:t xml:space="preserve">    mit geringer belastungsabhängiger Heiserkeit    0-10</w:t>
      </w:r>
    </w:p>
    <w:p>
      <w:r>
        <w:rPr>
          <w:rFonts w:ascii="Courier New" w:hAnsi="Courier New"/>
          <w:sz w:val="17"/>
        </w:rPr>
        <w:t xml:space="preserve">    mit dauernder Heiserkeit    20-30</w:t>
      </w:r>
    </w:p>
    <w:p>
      <w:r>
        <w:rPr>
          <w:rFonts w:ascii="Courier New" w:hAnsi="Courier New"/>
          <w:sz w:val="17"/>
        </w:rPr>
        <w:t xml:space="preserve">    nur Flüsterstimme    40</w:t>
      </w:r>
    </w:p>
    <w:p>
      <w:r>
        <w:rPr>
          <w:rFonts w:ascii="Courier New" w:hAnsi="Courier New"/>
          <w:sz w:val="17"/>
        </w:rPr>
        <w:t xml:space="preserve">    mit völliger Stimmlosigkeit    50</w:t>
      </w:r>
    </w:p>
    <w:p>
      <w:r>
        <w:rPr>
          <w:rFonts w:ascii="Courier New" w:hAnsi="Courier New"/>
          <w:sz w:val="17"/>
        </w:rPr>
        <w:t xml:space="preserve">Atembehinderungen sind ggf. zusätzlich zu bewerten analog der dauernden Einschränkung der Lungenfunktion.    </w:t>
      </w:r>
    </w:p>
    <w:p>
      <w:r>
        <w:rPr>
          <w:rFonts w:ascii="Courier New" w:hAnsi="Courier New"/>
          <w:sz w:val="17"/>
        </w:rPr>
        <w:t xml:space="preserve">7.11 Artikulationsstörungen    </w:t>
      </w:r>
    </w:p>
    <w:p>
      <w:r>
        <w:rPr>
          <w:rFonts w:ascii="Courier New" w:hAnsi="Courier New"/>
          <w:sz w:val="17"/>
        </w:rPr>
        <w:t xml:space="preserve">durch Lähmungen oder Veränderungen in Mundhöhle oder Rachen    </w:t>
      </w:r>
    </w:p>
    <w:p>
      <w:r>
        <w:rPr>
          <w:rFonts w:ascii="Courier New" w:hAnsi="Courier New"/>
          <w:sz w:val="17"/>
        </w:rPr>
        <w:t xml:space="preserve">    mit verständlicher Sprache    10</w:t>
      </w:r>
    </w:p>
    <w:p>
      <w:r>
        <w:rPr>
          <w:rFonts w:ascii="Courier New" w:hAnsi="Courier New"/>
          <w:sz w:val="17"/>
        </w:rPr>
        <w:t xml:space="preserve">    mit schwer verständlicher Sprache    20-40</w:t>
      </w:r>
    </w:p>
    <w:p>
      <w:r>
        <w:rPr>
          <w:rFonts w:ascii="Courier New" w:hAnsi="Courier New"/>
          <w:sz w:val="17"/>
        </w:rPr>
        <w:t xml:space="preserve">    mit unverständlicher Sprache    50</w:t>
      </w:r>
    </w:p>
    <w:p>
      <w:r>
        <w:rPr>
          <w:rFonts w:ascii="Courier New" w:hAnsi="Courier New"/>
          <w:sz w:val="17"/>
        </w:rPr>
        <w:t xml:space="preserve">Stottern    </w:t>
      </w:r>
    </w:p>
    <w:p>
      <w:r>
        <w:rPr>
          <w:rFonts w:ascii="Courier New" w:hAnsi="Courier New"/>
          <w:sz w:val="17"/>
        </w:rPr>
        <w:t xml:space="preserve">    leicht    0-10</w:t>
      </w:r>
    </w:p>
    <w:p>
      <w:r>
        <w:rPr>
          <w:rFonts w:ascii="Courier New" w:hAnsi="Courier New"/>
          <w:sz w:val="17"/>
        </w:rPr>
        <w:t xml:space="preserve">    mittelgradig, situationsunabhängig    20</w:t>
      </w:r>
    </w:p>
    <w:p>
      <w:r>
        <w:rPr>
          <w:rFonts w:ascii="Courier New" w:hAnsi="Courier New"/>
          <w:sz w:val="17"/>
        </w:rPr>
        <w:t xml:space="preserve">    schwer, auffällige Mitbewegungen    30-40</w:t>
      </w:r>
    </w:p>
    <w:p>
      <w:r>
        <w:rPr>
          <w:rFonts w:ascii="Courier New" w:hAnsi="Courier New"/>
          <w:sz w:val="17"/>
        </w:rPr>
        <w:t xml:space="preserve">    mit unverständlicher Sprache    50</w:t>
      </w:r>
    </w:p>
    <w:p>
      <w:r>
        <w:rPr>
          <w:rFonts w:ascii="Courier New" w:hAnsi="Courier New"/>
          <w:sz w:val="17"/>
        </w:rPr>
        <w:t xml:space="preserve">Außergewöhnliche psychoreaktive Störungen einschließlich somatoformer Störungen sind ggf. zusätzlich zu berücksichtigen</w:t>
      </w:r>
    </w:p>
    <w:p>
      <w:pPr>
        <w:ind w:left="420"/>
      </w:pPr>
      <w:r>
        <w:t xml:space="preserve">8. Brustkorb, tiefere Atemwege und Lungen</w:t>
      </w:r>
    </w:p>
    <w:p>
      <w:r>
        <w:rPr>
          <w:rFonts w:ascii="Courier New" w:hAnsi="Courier New"/>
          <w:sz w:val="17"/>
        </w:rPr>
        <w:t xml:space="preserve">Bei chronischen Krankheiten der Bronchien und des Lungenparenchyms sowie bei Brustfellschwarten richtet sich der GdS vor allem nach der klinischen Symptomatik mit ihren Auswirkungen auf den Allgemeinzustand. Außerdem sind die Einschränkung der Lungenfunktion, die Folgeerscheinungen an anderen Organsystemen (z. B. Cor pulmonale) und bei allergisch bedingten Krankheiten auch die Vermeidbarkeit der Allergene zu berücksichtigen.</w:t>
      </w:r>
    </w:p>
    <w:p>
      <w:r>
        <w:rPr>
          <w:rFonts w:ascii="Courier New" w:hAnsi="Courier New"/>
          <w:sz w:val="17"/>
        </w:rPr>
        <w:t xml:space="preserve">8.1 Brüche und Defekte der Knochen des Brustkorbs (Rippen, Brustbein, Schlüsselbein)</w:t>
      </w:r>
    </w:p>
    <w:p>
      <w:r>
        <w:rPr>
          <w:rFonts w:ascii="Courier New" w:hAnsi="Courier New"/>
          <w:sz w:val="17"/>
        </w:rPr>
        <w:t xml:space="preserve">    ohne Funktionsstörungen verheilt, je nach Ausdehnung des Defektes    0-10</w:t>
      </w:r>
    </w:p>
    <w:p>
      <w:r>
        <w:rPr>
          <w:rFonts w:ascii="Courier New" w:hAnsi="Courier New"/>
          <w:sz w:val="17"/>
        </w:rPr>
        <w:t xml:space="preserve">Rippendefekte mit Brustfellschwarten    </w:t>
      </w:r>
    </w:p>
    <w:p>
      <w:r>
        <w:rPr>
          <w:rFonts w:ascii="Courier New" w:hAnsi="Courier New"/>
          <w:sz w:val="17"/>
        </w:rPr>
        <w:t xml:space="preserve">    ohne wesentliche Funktionsstörung    0-10</w:t>
      </w:r>
    </w:p>
    <w:p>
      <w:r>
        <w:rPr>
          <w:rFonts w:ascii="Courier New" w:hAnsi="Courier New"/>
          <w:sz w:val="17"/>
        </w:rPr>
        <w:t xml:space="preserve">    bei sehr ausgedehnten Defekten einschließlich entstellender Wirkung    20</w:t>
      </w:r>
    </w:p>
    <w:p>
      <w:r>
        <w:rPr>
          <w:rFonts w:ascii="Courier New" w:hAnsi="Courier New"/>
          <w:sz w:val="17"/>
        </w:rPr>
        <w:t xml:space="preserve">Brustfellverwachsungen und -schwarten    </w:t>
      </w:r>
    </w:p>
    <w:p>
      <w:r>
        <w:rPr>
          <w:rFonts w:ascii="Courier New" w:hAnsi="Courier New"/>
          <w:sz w:val="17"/>
        </w:rPr>
        <w:t xml:space="preserve">    ohne wesentliche Funktionsstörung    0-10</w:t>
      </w:r>
    </w:p>
    <w:p>
      <w:r>
        <w:rPr>
          <w:rFonts w:ascii="Courier New" w:hAnsi="Courier New"/>
          <w:sz w:val="17"/>
        </w:rPr>
        <w:t xml:space="preserve">Fremdkörper im Lungengewebe oder in der Brustkorbwand    </w:t>
      </w:r>
    </w:p>
    <w:p>
      <w:r>
        <w:rPr>
          <w:rFonts w:ascii="Courier New" w:hAnsi="Courier New"/>
          <w:sz w:val="17"/>
        </w:rPr>
        <w:t xml:space="preserve">    reaktionslos eingeheilt    0</w:t>
      </w:r>
    </w:p>
    <w:p>
      <w:r>
        <w:rPr>
          <w:rFonts w:ascii="Courier New" w:hAnsi="Courier New"/>
          <w:sz w:val="17"/>
        </w:rPr>
        <w:t xml:space="preserve">8.2 Chronische Bronchitis, Bronchiektasen    </w:t>
      </w:r>
    </w:p>
    <w:p>
      <w:r>
        <w:rPr>
          <w:rFonts w:ascii="Courier New" w:hAnsi="Courier New"/>
          <w:sz w:val="17"/>
        </w:rPr>
        <w:t xml:space="preserve">    als eigenständige Krankheiten - ohne dauernde Einschränkung der Lungenfunktion, leichte Form    </w:t>
      </w:r>
    </w:p>
    <w:p>
      <w:r>
        <w:rPr>
          <w:rFonts w:ascii="Courier New" w:hAnsi="Courier New"/>
          <w:sz w:val="17"/>
        </w:rPr>
        <w:t xml:space="preserve">    (symptomfreie Intervalle über mehrere Monate, wenig Husten, geringer Auswurf)    0-10</w:t>
      </w:r>
    </w:p>
    <w:p>
      <w:r>
        <w:rPr>
          <w:rFonts w:ascii="Courier New" w:hAnsi="Courier New"/>
          <w:sz w:val="17"/>
        </w:rPr>
        <w:t xml:space="preserve">    schwere Form    </w:t>
      </w:r>
    </w:p>
    <w:p>
      <w:r>
        <w:rPr>
          <w:rFonts w:ascii="Courier New" w:hAnsi="Courier New"/>
          <w:sz w:val="17"/>
        </w:rPr>
        <w:t xml:space="preserve">    (fast kontinuierlich ausgiebiger Husten und Auswurf, häufige akute Schübe)    20-30</w:t>
      </w:r>
    </w:p>
    <w:p>
      <w:r>
        <w:rPr>
          <w:rFonts w:ascii="Courier New" w:hAnsi="Courier New"/>
          <w:sz w:val="17"/>
        </w:rPr>
        <w:t xml:space="preserve">Pneumokoniosen (z. B. Silikose, Asbestose)    </w:t>
      </w:r>
    </w:p>
    <w:p>
      <w:r>
        <w:rPr>
          <w:rFonts w:ascii="Courier New" w:hAnsi="Courier New"/>
          <w:sz w:val="17"/>
        </w:rPr>
        <w:t xml:space="preserve">    ohne wesentliche Einschränkung der Lungenfunktion    0-10</w:t>
      </w:r>
    </w:p>
    <w:p>
      <w:r>
        <w:rPr>
          <w:rFonts w:ascii="Courier New" w:hAnsi="Courier New"/>
          <w:sz w:val="17"/>
        </w:rPr>
        <w:t xml:space="preserve">8.3 Krankheiten der Atmungsorgane mit dauernder Einschränkung der Lungenfunktion</w:t>
      </w:r>
    </w:p>
    <w:p>
      <w:r>
        <w:rPr>
          <w:rFonts w:ascii="Courier New" w:hAnsi="Courier New"/>
          <w:sz w:val="17"/>
        </w:rPr>
        <w:t xml:space="preserve">    geringen Grades    </w:t>
      </w:r>
    </w:p>
    <w:p>
      <w:r>
        <w:rPr>
          <w:rFonts w:ascii="Courier New" w:hAnsi="Courier New"/>
          <w:sz w:val="17"/>
        </w:rPr>
        <w:t xml:space="preserve">    das gewöhnliche Maß übersteigende Atemnot bei mittelschwerer Belastung (z. B. forsches Gehen [5-6 km/h], mittelschwere körperliche Arbeit); statische und dynamische Messwerte der Lungenfunktionsprüfung bis zu 1/3 niedriger als die Sollwerte,Blutgaswerte im Normbereich    20-40</w:t>
      </w:r>
    </w:p>
    <w:p>
      <w:r>
        <w:rPr>
          <w:rFonts w:ascii="Courier New" w:hAnsi="Courier New"/>
          <w:sz w:val="17"/>
        </w:rPr>
        <w:t xml:space="preserve">    mittleren Grades    </w:t>
      </w:r>
    </w:p>
    <w:p>
      <w:r>
        <w:rPr>
          <w:rFonts w:ascii="Courier New" w:hAnsi="Courier New"/>
          <w:sz w:val="17"/>
        </w:rPr>
        <w:t xml:space="preserve">    das gewöhnliche Maß übersteigende Atemnot bereits bei alltäglicher leichter Belastung (z. B. Spazierengehen [3-4 km/h], Treppensteigen bis zu einem Stockwerk, leichte körperliche Arbeit); statische und dynamische Messwerte der Lungenfunktionsprüfung bis zu 2/3 niedriger als die Sollwerte,respiratorische Partialinsuffizienz    50-70</w:t>
      </w:r>
    </w:p>
    <w:p>
      <w:r>
        <w:rPr>
          <w:rFonts w:ascii="Courier New" w:hAnsi="Courier New"/>
          <w:sz w:val="17"/>
        </w:rPr>
        <w:t xml:space="preserve">    schweren Grades    </w:t>
      </w:r>
    </w:p>
    <w:p>
      <w:r>
        <w:rPr>
          <w:rFonts w:ascii="Courier New" w:hAnsi="Courier New"/>
          <w:sz w:val="17"/>
        </w:rPr>
        <w:t xml:space="preserve">    Atemnot bereits bei leichtester Belastung oder in Ruhe; statische und dynamische Messwerte der Lungenfunktionsprüfung um mehr als 2/3 niedriger als die Sollwerte,    </w:t>
      </w:r>
    </w:p>
    <w:p>
      <w:r>
        <w:rPr>
          <w:rFonts w:ascii="Courier New" w:hAnsi="Courier New"/>
          <w:sz w:val="17"/>
        </w:rPr>
        <w:t xml:space="preserve">    respiratorische Globalinsuffizienz    80-100</w:t>
      </w:r>
    </w:p>
    <w:p>
      <w:r>
        <w:rPr>
          <w:rFonts w:ascii="Courier New" w:hAnsi="Courier New"/>
          <w:sz w:val="17"/>
        </w:rPr>
        <w:t xml:space="preserve">8.4 Nach einer Lungentransplantation ist eine Heilungsbewährung abzuwarten (im Allgemeinen zwei Jahre); während dieser Zeit ist ein GdS von 100 anzusetzen. Danach ist der GdS selbst bei günstigem Heilungsverlauf unter Mitberücksichtigung der erforderlichen Immunsuppression nicht niedriger als 70 zu bewerten.    </w:t>
      </w:r>
    </w:p>
    <w:p>
      <w:r>
        <w:rPr>
          <w:rFonts w:ascii="Courier New" w:hAnsi="Courier New"/>
          <w:sz w:val="17"/>
        </w:rPr>
        <w:t xml:space="preserve">Nach Entfernung eines malignen Lungentumors oder eines Bronchialtumors ist in den ersten fünf Jahren eine Heilungsbewährung abzuwarten.    </w:t>
      </w:r>
    </w:p>
    <w:p>
      <w:r>
        <w:rPr>
          <w:rFonts w:ascii="Courier New" w:hAnsi="Courier New"/>
          <w:sz w:val="17"/>
        </w:rPr>
        <w:t xml:space="preserve">    GdS während dieser Zeit    wenigstens 80</w:t>
      </w:r>
    </w:p>
    <w:p>
      <w:r>
        <w:rPr>
          <w:rFonts w:ascii="Courier New" w:hAnsi="Courier New"/>
          <w:sz w:val="17"/>
        </w:rPr>
        <w:t xml:space="preserve">    bei Einschränkung der Lungenfunktion    </w:t>
      </w:r>
    </w:p>
    <w:p>
      <w:r>
        <w:rPr>
          <w:rFonts w:ascii="Courier New" w:hAnsi="Courier New"/>
          <w:sz w:val="17"/>
        </w:rPr>
        <w:t xml:space="preserve">    mittleren bis schweren Grades    90-100</w:t>
      </w:r>
    </w:p>
    <w:p>
      <w:r>
        <w:rPr>
          <w:rFonts w:ascii="Courier New" w:hAnsi="Courier New"/>
          <w:sz w:val="17"/>
        </w:rPr>
        <w:t xml:space="preserve">8.5 Bronchialasthma ohne dauernde Einschränkung der Lungenfunktion,    </w:t>
      </w:r>
    </w:p>
    <w:p>
      <w:r>
        <w:rPr>
          <w:rFonts w:ascii="Courier New" w:hAnsi="Courier New"/>
          <w:sz w:val="17"/>
        </w:rPr>
        <w:t xml:space="preserve">    Hyperreagibilität mit seltenen (saisonalen) und/oder    </w:t>
      </w:r>
    </w:p>
    <w:p>
      <w:r>
        <w:rPr>
          <w:rFonts w:ascii="Courier New" w:hAnsi="Courier New"/>
          <w:sz w:val="17"/>
        </w:rPr>
        <w:t xml:space="preserve">    leichten Anfällen    0-20</w:t>
      </w:r>
    </w:p>
    <w:p>
      <w:r>
        <w:rPr>
          <w:rFonts w:ascii="Courier New" w:hAnsi="Courier New"/>
          <w:sz w:val="17"/>
        </w:rPr>
        <w:t xml:space="preserve">    Hyperreagibilität mit häufigen (mehrmals pro Monat)    </w:t>
      </w:r>
    </w:p>
    <w:p>
      <w:r>
        <w:rPr>
          <w:rFonts w:ascii="Courier New" w:hAnsi="Courier New"/>
          <w:sz w:val="17"/>
        </w:rPr>
        <w:t xml:space="preserve">    und/oder schweren Anfällen    30-40</w:t>
      </w:r>
    </w:p>
    <w:p>
      <w:r>
        <w:rPr>
          <w:rFonts w:ascii="Courier New" w:hAnsi="Courier New"/>
          <w:sz w:val="17"/>
        </w:rPr>
        <w:t xml:space="preserve">    Hyperreagibilität mit Serien schwerer Anfälle    50</w:t>
      </w:r>
    </w:p>
    <w:p>
      <w:r>
        <w:rPr>
          <w:rFonts w:ascii="Courier New" w:hAnsi="Courier New"/>
          <w:sz w:val="17"/>
        </w:rPr>
        <w:t xml:space="preserve">Eine dauernde Einschränkung der Lungenfunktion ist zusätzlich zu berücksichtigen.    </w:t>
      </w:r>
    </w:p>
    <w:p>
      <w:r>
        <w:rPr>
          <w:rFonts w:ascii="Courier New" w:hAnsi="Courier New"/>
          <w:sz w:val="17"/>
        </w:rPr>
        <w:t xml:space="preserve">8.6 Bronchialasthma bei Kindern    </w:t>
      </w:r>
    </w:p>
    <w:p>
      <w:r>
        <w:rPr>
          <w:rFonts w:ascii="Courier New" w:hAnsi="Courier New"/>
          <w:sz w:val="17"/>
        </w:rPr>
        <w:t xml:space="preserve">    geringen Grades    </w:t>
      </w:r>
    </w:p>
    <w:p>
      <w:r>
        <w:rPr>
          <w:rFonts w:ascii="Courier New" w:hAnsi="Courier New"/>
          <w:sz w:val="17"/>
        </w:rPr>
        <w:t xml:space="preserve">    (Hyperreagibilität mit seltenen (saisonalen) und/oder leichten Anfällen, keine dauernde Einschränkung der Atemfunktion, nicht mehr als sechs Wochen Bronchitis im Jahr)    20-40</w:t>
      </w:r>
    </w:p>
    <w:p>
      <w:r>
        <w:rPr>
          <w:rFonts w:ascii="Courier New" w:hAnsi="Courier New"/>
          <w:sz w:val="17"/>
        </w:rPr>
        <w:t xml:space="preserve">    mittleren Grades    </w:t>
      </w:r>
    </w:p>
    <w:p>
      <w:r>
        <w:rPr>
          <w:rFonts w:ascii="Courier New" w:hAnsi="Courier New"/>
          <w:sz w:val="17"/>
        </w:rPr>
        <w:t xml:space="preserve">    (Hyperreagibilität mit häufigeren und/oder schweren Anfällen, leichte bis mittelgradige ständige Einschränkung der Atemfunktion, etwa 2 bis 3 Monate kontinuierliche Bronchitis im Jahr)    50-70</w:t>
      </w:r>
    </w:p>
    <w:p>
      <w:r>
        <w:rPr>
          <w:rFonts w:ascii="Courier New" w:hAnsi="Courier New"/>
          <w:sz w:val="17"/>
        </w:rPr>
        <w:t xml:space="preserve">    schweren Grades    </w:t>
      </w:r>
    </w:p>
    <w:p>
      <w:r>
        <w:rPr>
          <w:rFonts w:ascii="Courier New" w:hAnsi="Courier New"/>
          <w:sz w:val="17"/>
        </w:rPr>
        <w:t xml:space="preserve">    (Hyperreagibilität mit Serien schwerer Anfälle, schwere Beeinträchtigung der Atemfunktion, mehr als 3 Monate kontinuierliche Bronchitis im Jahr)    80-100</w:t>
      </w:r>
    </w:p>
    <w:p>
      <w:r>
        <w:rPr>
          <w:rFonts w:ascii="Courier New" w:hAnsi="Courier New"/>
          <w:sz w:val="17"/>
        </w:rPr>
        <w:t xml:space="preserve">8.7 Schlaf-Apnoe-Syndrom (Nachweis durch Untersuchung im Schlaflabor)    </w:t>
      </w:r>
    </w:p>
    <w:p>
      <w:r>
        <w:rPr>
          <w:rFonts w:ascii="Courier New" w:hAnsi="Courier New"/>
          <w:sz w:val="17"/>
        </w:rPr>
        <w:t xml:space="preserve">    ohne Notwendigkeit einer kontinuierlichen nasalen Überdruckbeatmung    0-10</w:t>
      </w:r>
    </w:p>
    <w:p>
      <w:r>
        <w:rPr>
          <w:rFonts w:ascii="Courier New" w:hAnsi="Courier New"/>
          <w:sz w:val="17"/>
        </w:rPr>
        <w:t xml:space="preserve">    mit Notwendigkeit einer kontinuierlichen nasalen Überdruckbeatmung    20</w:t>
      </w:r>
    </w:p>
    <w:p>
      <w:r>
        <w:rPr>
          <w:rFonts w:ascii="Courier New" w:hAnsi="Courier New"/>
          <w:sz w:val="17"/>
        </w:rPr>
        <w:t xml:space="preserve">    bei nicht durchführbarer nasaler Überdruckbeatmung    50</w:t>
      </w:r>
    </w:p>
    <w:p>
      <w:r>
        <w:rPr>
          <w:rFonts w:ascii="Courier New" w:hAnsi="Courier New"/>
          <w:sz w:val="17"/>
        </w:rPr>
        <w:t xml:space="preserve">Folgeerscheinungen oder Komplikationen (z. B. Herzrhythmusstörungen, Hypertonie, Cor pulmonale) sind zusätzlich zu berücksichtigen.</w:t>
      </w:r>
    </w:p>
    <w:p>
      <w:r>
        <w:rPr>
          <w:rFonts w:ascii="Courier New" w:hAnsi="Courier New"/>
          <w:sz w:val="17"/>
        </w:rPr>
        <w:t xml:space="preserve">8.8 Tuberkulose    </w:t>
      </w:r>
    </w:p>
    <w:p>
      <w:r>
        <w:rPr>
          <w:rFonts w:ascii="Courier New" w:hAnsi="Courier New"/>
          <w:sz w:val="17"/>
        </w:rPr>
        <w:t xml:space="preserve">Tuberkulöse Pleuritis    </w:t>
      </w:r>
    </w:p>
    <w:p>
      <w:r>
        <w:rPr>
          <w:rFonts w:ascii="Courier New" w:hAnsi="Courier New"/>
          <w:sz w:val="17"/>
        </w:rPr>
        <w:t xml:space="preserve">    Der GdS richtet sich nach den Folgeerscheinungen.    </w:t>
      </w:r>
    </w:p>
    <w:p>
      <w:r>
        <w:rPr>
          <w:rFonts w:ascii="Courier New" w:hAnsi="Courier New"/>
          <w:sz w:val="17"/>
        </w:rPr>
        <w:t xml:space="preserve">Lungentuberkulose    </w:t>
      </w:r>
    </w:p>
    <w:p>
      <w:r>
        <w:rPr>
          <w:rFonts w:ascii="Courier New" w:hAnsi="Courier New"/>
          <w:sz w:val="17"/>
        </w:rPr>
        <w:t xml:space="preserve">    ansteckungsfähig (mehr als 6 Monate andauernd)    100</w:t>
      </w:r>
    </w:p>
    <w:p>
      <w:r>
        <w:rPr>
          <w:rFonts w:ascii="Courier New" w:hAnsi="Courier New"/>
          <w:sz w:val="17"/>
        </w:rPr>
        <w:t xml:space="preserve">    nicht ansteckungsfähig    </w:t>
      </w:r>
    </w:p>
    <w:p>
      <w:r>
        <w:rPr>
          <w:rFonts w:ascii="Courier New" w:hAnsi="Courier New"/>
          <w:sz w:val="17"/>
        </w:rPr>
        <w:t xml:space="preserve">        ohne Einschränkung der Lungenfunktion    0</w:t>
      </w:r>
    </w:p>
    <w:p>
      <w:r>
        <w:rPr>
          <w:rFonts w:ascii="Courier New" w:hAnsi="Courier New"/>
          <w:sz w:val="17"/>
        </w:rPr>
        <w:t xml:space="preserve">        sonst je nach Einschränkung der Lungenfunktion.    </w:t>
      </w:r>
    </w:p>
    <w:p>
      <w:r>
        <w:rPr>
          <w:rFonts w:ascii="Courier New" w:hAnsi="Courier New"/>
          <w:sz w:val="17"/>
        </w:rPr>
        <w:t xml:space="preserve">8.9 Sarkoidose    </w:t>
      </w:r>
    </w:p>
    <w:p>
      <w:r>
        <w:rPr>
          <w:rFonts w:ascii="Courier New" w:hAnsi="Courier New"/>
          <w:sz w:val="17"/>
        </w:rPr>
        <w:t xml:space="preserve">Der GdS richtet sich nach der Aktivität mit ihren Auswirkungen auf den Allgemeinzustand und nach den Auswirkungen an den verschiedenen Organen.</w:t>
      </w:r>
    </w:p>
    <w:p>
      <w:r>
        <w:rPr>
          <w:rFonts w:ascii="Courier New" w:hAnsi="Courier New"/>
          <w:sz w:val="17"/>
        </w:rPr>
        <w:t xml:space="preserve">Bei chronischem Verlauf mit klinischen Aktivitätszeichen und Auswirkungen auf den Allgemeinzustand ist ohne Funktionseinschränkung von betroffenen Organen ein GdS von 30 anzunehmen.</w:t>
      </w:r>
    </w:p>
    <w:p>
      <w:pPr>
        <w:ind w:left="420"/>
      </w:pPr>
      <w:r>
        <w:t xml:space="preserve">9. Herz und Kreislauf</w:t>
      </w:r>
    </w:p>
    <w:p>
      <w:r>
        <w:rPr>
          <w:rFonts w:ascii="Courier New" w:hAnsi="Courier New"/>
          <w:sz w:val="17"/>
        </w:rPr>
        <w:t xml:space="preserve">Für die Bemessung des GdS ist weniger die Art einer Herz- oder Kreislaufkrankheit maßgeblich als die Leistungseinbuße. Bei der Beurteilung des GdS ist zunächst von dem klinischen Bild und von den Funktionseinschränkungen im Alltag auszugehen. Ergometerdaten und andere Parameter stellen Richtwerte dar, die das klinische Bild ergänzen. Elektrokardiographische Abweichungen allein gestatten keinen Rückschluss auf die Leistungseinbuße.</w:t>
      </w:r>
    </w:p>
    <w:p>
      <w:r>
        <w:rPr>
          <w:rFonts w:ascii="Courier New" w:hAnsi="Courier New"/>
          <w:sz w:val="17"/>
        </w:rPr>
        <w:t xml:space="preserve">9.1 Krankheiten des Herzens</w:t>
      </w:r>
    </w:p>
    <w:p>
      <w:r>
        <w:rPr>
          <w:rFonts w:ascii="Courier New" w:hAnsi="Courier New"/>
          <w:sz w:val="17"/>
        </w:rPr>
        <w:t xml:space="preserve">9.1.1 Einschränkung der Herzleistung:    </w:t>
      </w:r>
    </w:p>
    <w:p>
      <w:r>
        <w:rPr>
          <w:rFonts w:ascii="Courier New" w:hAnsi="Courier New"/>
          <w:sz w:val="17"/>
        </w:rPr>
        <w:t xml:space="preserve">    1. keine wesentliche Leistungsbeeinträchtigung (keine Insuffizienzerscheinungen wie Atemnot, anginöse Schmerzen) selbst bei gewohnter stärkerer Belastung (z. B. sehr schnelles Gehen [7-8 km/h], schwere körperliche Arbeit), keine Einschränkung der Solleistung bei Ergometerbelastung; bei Kindern und Säuglingen (je nach Alter) beim Strampeln, Krabbeln, Laufen, Treppensteigen keine wesentliche Leistungsbeeinträchtigung, keine Tachypnoe, kein Schwitzen    0-10</w:t>
      </w:r>
    </w:p>
    <w:p>
      <w:r>
        <w:rPr>
          <w:rFonts w:ascii="Courier New" w:hAnsi="Courier New"/>
          <w:sz w:val="17"/>
        </w:rPr>
        <w:t xml:space="preserve">    2. Leistungsbeeinträchtigung bei mittelschwerer Belastung (z. B. forsches Gehen [5-6 km/h], mittelschwere körperliche Arbeit), Beschwerden und Auftreten pathologischer Messdaten bei Ergometerbelastung mit 75 Watt (wenigstens 2 Minuten); bei Kindern und Säuglingen Trinkschwierigkeiten, leichtes Schwitzen, leichte Tachy- und Dyspnoe, leichte Zyanose, keine Stauungsorgane, Beschwerden und Auftreten pathologischer Messdaten bei Ergometerbelastung mit 1 Watt/kg Körpergewicht    20-40</w:t>
      </w:r>
    </w:p>
    <w:p>
      <w:r>
        <w:rPr>
          <w:rFonts w:ascii="Courier New" w:hAnsi="Courier New"/>
          <w:sz w:val="17"/>
        </w:rPr>
        <w:t xml:space="preserve">    3. Leistungsbeeinträchtigung bereits bei alltäglicher leichter Belastung (z. B. Spazierengehen [3-4 km/h], Treppensteigen bis zu einem Stockwerk, leichte körperliche Arbeit), Beschwerden und Auftreten pathologischer Messdaten bei Ergometerbelastung mit 50 Watt (wenigstens 2 Minuten); bei Kindern und Säuglingen deutliche Trinkschwierigkeiten, deutliches Schwitzen, deutliche Tachy- und Dyspnoe, deutliche Zyanose, rezidivierende pulmonale Infekte, kardial bedingte Gedeihstörungen, Beschwerden und Auftreten pathologischer Messdaten bei Ergometerbelastung mit 0,75 Watt/kg Körpergewicht    50-70</w:t>
      </w:r>
    </w:p>
    <w:p>
      <w:r>
        <w:rPr>
          <w:rFonts w:ascii="Courier New" w:hAnsi="Courier New"/>
          <w:sz w:val="17"/>
        </w:rPr>
        <w:t xml:space="preserve">    mit gelegentlich auftretenden, vorübergehend schweren Dekompensationserscheinungen    80</w:t>
      </w:r>
    </w:p>
    <w:p>
      <w:r>
        <w:rPr>
          <w:rFonts w:ascii="Courier New" w:hAnsi="Courier New"/>
          <w:sz w:val="17"/>
        </w:rPr>
        <w:t xml:space="preserve">    4. Leistungsbeeinträchtigung bereits in Ruhe (Ruheinsuffizienz, z. B. auch bei fixierter pulmonaler Hypertonie); bei Kindern und Säuglingen auch hypoxämische Anfälle, deutliche Stauungsorgane, kardiale Dystrophie    90-100</w:t>
      </w:r>
    </w:p>
    <w:p>
      <w:r>
        <w:rPr>
          <w:rFonts w:ascii="Courier New" w:hAnsi="Courier New"/>
          <w:sz w:val="17"/>
        </w:rPr>
        <w:t xml:space="preserve">(Die für Erwachsene angegebenen Wattzahlen sind auf mittleres Lebensalter und Belastung im Sitzen bezogen.)    </w:t>
      </w:r>
    </w:p>
    <w:p>
      <w:r>
        <w:rPr>
          <w:rFonts w:ascii="Courier New" w:hAnsi="Courier New"/>
          <w:sz w:val="17"/>
        </w:rPr>
        <w:t xml:space="preserve">Liegen weitere objektive Parameter zur Leistungsbeurteilung vor, sind diese entsprechend zu berücksichtigen. Notwendige körperliche Leistungsbeschränkungen (z. B. bei höhergradiger Aortenklappenstenose, hypertrophischer obstruktiver Kardiomyopathie) sind wie Leistungsbeeinträchtigungen zu bewerten.    </w:t>
      </w:r>
    </w:p>
    <w:p>
      <w:r>
        <w:rPr>
          <w:rFonts w:ascii="Courier New" w:hAnsi="Courier New"/>
          <w:sz w:val="17"/>
        </w:rPr>
        <w:t xml:space="preserve">9.1.2 Nach operativen und anderen therapeutischen Eingriffen am Herzen ist der GdS von der bleibenden Leistungsbeeinträchtigung abhängig. Bei Herzklappenprothesen ist der GdS nicht niedriger als 30 zu bewerten; dieser Wert schließt eine Dauerbehandlung mit Antikoagulantien ein.</w:t>
      </w:r>
    </w:p>
    <w:p>
      <w:r>
        <w:rPr>
          <w:rFonts w:ascii="Courier New" w:hAnsi="Courier New"/>
          <w:sz w:val="17"/>
        </w:rPr>
        <w:t xml:space="preserve">9.1.3 Nach einem Herzinfarkt ist der GdS von der bleibenden Leistungsbeeinträchtigung abhängig.</w:t>
      </w:r>
    </w:p>
    <w:p>
      <w:r>
        <w:rPr>
          <w:rFonts w:ascii="Courier New" w:hAnsi="Courier New"/>
          <w:sz w:val="17"/>
        </w:rPr>
        <w:t xml:space="preserve">9.1.4 Nach Herztransplantation ist eine Heilungsbewährung abzuwarten (im Allgemeinen zwei Jahre); während dieser Zeit ist ein GdS von 100 anzusetzen. Danach ist der GdS selbst bei günstigem Heilungsverlauf unter Berücksichtigung der erforderlichen Immunsuppression nicht niedriger als 70 zu bewerten.</w:t>
      </w:r>
    </w:p>
    <w:p>
      <w:r>
        <w:rPr>
          <w:rFonts w:ascii="Courier New" w:hAnsi="Courier New"/>
          <w:sz w:val="17"/>
        </w:rPr>
        <w:t xml:space="preserve">9.1.5 Fremdkörper im Herzmuskel oder Herzbeutel    </w:t>
      </w:r>
    </w:p>
    <w:p>
      <w:r>
        <w:rPr>
          <w:rFonts w:ascii="Courier New" w:hAnsi="Courier New"/>
          <w:sz w:val="17"/>
        </w:rPr>
        <w:t xml:space="preserve">    reaktionslos eingeheilt    0</w:t>
      </w:r>
    </w:p>
    <w:p>
      <w:r>
        <w:rPr>
          <w:rFonts w:ascii="Courier New" w:hAnsi="Courier New"/>
          <w:sz w:val="17"/>
        </w:rPr>
        <w:t xml:space="preserve">    mit Beeinträchtigung der Herzleistung    siehe oben</w:t>
      </w:r>
    </w:p>
    <w:p>
      <w:r>
        <w:rPr>
          <w:rFonts w:ascii="Courier New" w:hAnsi="Courier New"/>
          <w:sz w:val="17"/>
        </w:rPr>
        <w:t xml:space="preserve">9.1.6 Rhythmusstörungen    </w:t>
      </w:r>
    </w:p>
    <w:p>
      <w:r>
        <w:rPr>
          <w:rFonts w:ascii="Courier New" w:hAnsi="Courier New"/>
          <w:sz w:val="17"/>
        </w:rPr>
        <w:t xml:space="preserve">Die Beurteilung des GdS richtet sich vor allem nach der Leistungsbeeinträchtigung des Herzens.</w:t>
      </w:r>
    </w:p>
    <w:p>
      <w:r>
        <w:rPr>
          <w:rFonts w:ascii="Courier New" w:hAnsi="Courier New"/>
          <w:sz w:val="17"/>
        </w:rPr>
        <w:t xml:space="preserve">Anfallsweise auftretende hämodynamisch relevante Rhythmusstörungen (z. B. paroxysmale Tachykardien) je nach Häufigkeit, Dauer und subjektiver Beeinträchtigung</w:t>
      </w:r>
    </w:p>
    <w:p>
      <w:r>
        <w:rPr>
          <w:rFonts w:ascii="Courier New" w:hAnsi="Courier New"/>
          <w:sz w:val="17"/>
        </w:rPr>
        <w:t xml:space="preserve">    bei fehlender andauernder Leistungsbeeinträchtigung des Herzens    10-30</w:t>
      </w:r>
    </w:p>
    <w:p>
      <w:r>
        <w:rPr>
          <w:rFonts w:ascii="Courier New" w:hAnsi="Courier New"/>
          <w:sz w:val="17"/>
        </w:rPr>
        <w:t xml:space="preserve">bei bestehender andauernder Leistungsbeeinträchtigung des Herzens sind sie entsprechend zusätzlich zu bewerten.</w:t>
      </w:r>
    </w:p>
    <w:p>
      <w:r>
        <w:rPr>
          <w:rFonts w:ascii="Courier New" w:hAnsi="Courier New"/>
          <w:sz w:val="17"/>
        </w:rPr>
        <w:t xml:space="preserve">nach Implantation eines Herzschrittmachers    10</w:t>
      </w:r>
    </w:p>
    <w:p>
      <w:r>
        <w:rPr>
          <w:rFonts w:ascii="Courier New" w:hAnsi="Courier New"/>
          <w:sz w:val="17"/>
        </w:rPr>
        <w:t xml:space="preserve">nach Implantation eines Kardioverter-Defibrillators    wenigstens 50</w:t>
      </w:r>
    </w:p>
    <w:p>
      <w:r>
        <w:rPr>
          <w:rFonts w:ascii="Courier New" w:hAnsi="Courier New"/>
          <w:sz w:val="17"/>
        </w:rPr>
        <w:t xml:space="preserve">bei ventrikulären tachykarden Rhythmusstörungen im Kindesalter ohne Implantation eines Kardioverter-Defibrillators    wenigstens 60</w:t>
      </w:r>
    </w:p>
    <w:p>
      <w:r>
        <w:rPr>
          <w:rFonts w:ascii="Courier New" w:hAnsi="Courier New"/>
          <w:sz w:val="17"/>
        </w:rPr>
        <w:t xml:space="preserve">9.2 Gefäßkrankheiten    </w:t>
      </w:r>
    </w:p>
    <w:p>
      <w:r>
        <w:rPr>
          <w:rFonts w:ascii="Courier New" w:hAnsi="Courier New"/>
          <w:sz w:val="17"/>
        </w:rPr>
        <w:t xml:space="preserve">9.2.1 Arterielle Verschlusskrankheiten, Arterienverschlüsse an den Beinen (auch nach rekanalisierenden Maßnahmen)    </w:t>
      </w:r>
    </w:p>
    <w:p>
      <w:r>
        <w:rPr>
          <w:rFonts w:ascii="Courier New" w:hAnsi="Courier New"/>
          <w:sz w:val="17"/>
        </w:rPr>
        <w:t xml:space="preserve">    mit ausreichender Restdurchblutung, Pulsausfall ohne Beschwerden oder mit geringen Beschwerden (Missempfindungen in Wade und Fuß bei raschem Gehen) ein- oder beidseitig    0-10</w:t>
      </w:r>
    </w:p>
    <w:p>
      <w:r>
        <w:rPr>
          <w:rFonts w:ascii="Courier New" w:hAnsi="Courier New"/>
          <w:sz w:val="17"/>
        </w:rPr>
        <w:t xml:space="preserve">    mit eingeschränkter Restdurchblutung (Claudicatio intermittens) Stadium II    </w:t>
      </w:r>
    </w:p>
    <w:p>
      <w:r>
        <w:rPr>
          <w:rFonts w:ascii="Courier New" w:hAnsi="Courier New"/>
          <w:sz w:val="17"/>
        </w:rPr>
        <w:t xml:space="preserve">        Schmerzen ein- oder beidseitig nach Gehen einer Wegstrecke in der Ebene von mehr als 500 m    20</w:t>
      </w:r>
    </w:p>
    <w:p>
      <w:r>
        <w:rPr>
          <w:rFonts w:ascii="Courier New" w:hAnsi="Courier New"/>
          <w:sz w:val="17"/>
        </w:rPr>
        <w:t xml:space="preserve">        Schmerzen ein- oder beidseitig nach Gehen einer Wegstrecke in der Ebene von 100 bis 500 m    30-40</w:t>
      </w:r>
    </w:p>
    <w:p>
      <w:r>
        <w:rPr>
          <w:rFonts w:ascii="Courier New" w:hAnsi="Courier New"/>
          <w:sz w:val="17"/>
        </w:rPr>
        <w:t xml:space="preserve">        Schmerzen ein- oder beidseitig nach Gehen einer Wegstrecke in der Ebene von 50 bis 100 m    50-60</w:t>
      </w:r>
    </w:p>
    <w:p>
      <w:r>
        <w:rPr>
          <w:rFonts w:ascii="Courier New" w:hAnsi="Courier New"/>
          <w:sz w:val="17"/>
        </w:rPr>
        <w:t xml:space="preserve">        Schmerzen ein- oder beidseitig nach Gehen einer Wegstrecke in der Ebene von weniger als 50 m ohne Ruheschmerz    70-80</w:t>
      </w:r>
    </w:p>
    <w:p>
      <w:r>
        <w:rPr>
          <w:rFonts w:ascii="Courier New" w:hAnsi="Courier New"/>
          <w:sz w:val="17"/>
        </w:rPr>
        <w:t xml:space="preserve">    Schmerzen nach Gehen einer Wegstrecke unter 50 m mit Ruheschmerz (Stadium III) einschließlich trophischer Störungen (Stadium IV )    </w:t>
      </w:r>
    </w:p>
    <w:p>
      <w:r>
        <w:rPr>
          <w:rFonts w:ascii="Courier New" w:hAnsi="Courier New"/>
          <w:sz w:val="17"/>
        </w:rPr>
        <w:t xml:space="preserve">        einseitig    80</w:t>
      </w:r>
    </w:p>
    <w:p>
      <w:r>
        <w:rPr>
          <w:rFonts w:ascii="Courier New" w:hAnsi="Courier New"/>
          <w:sz w:val="17"/>
        </w:rPr>
        <w:t xml:space="preserve">        beidseitig    90-100</w:t>
      </w:r>
    </w:p>
    <w:p>
      <w:r>
        <w:rPr>
          <w:rFonts w:ascii="Courier New" w:hAnsi="Courier New"/>
          <w:sz w:val="17"/>
        </w:rPr>
        <w:t xml:space="preserve">Apparative Messmethoden (z. B. Dopplerdruck) können nur eine allgemeine Orientierung über den Schweregrad abgeben.</w:t>
      </w:r>
    </w:p>
    <w:p>
      <w:r>
        <w:rPr>
          <w:rFonts w:ascii="Courier New" w:hAnsi="Courier New"/>
          <w:sz w:val="17"/>
        </w:rPr>
        <w:t xml:space="preserve">Bei Arterienverschlüssen an den Armen wird der GdS ebenfalls durch das Ausmaß der Beschwerden und Funktionseinschränkungen - im Vergleich mit anderen Schäden an den Armen - bestimmt.</w:t>
      </w:r>
    </w:p>
    <w:p>
      <w:r>
        <w:rPr>
          <w:rFonts w:ascii="Courier New" w:hAnsi="Courier New"/>
          <w:sz w:val="17"/>
        </w:rPr>
        <w:t xml:space="preserve">9.2.2 Nach größeren gefäßchirurgischen Eingriffen (z. B. Prothesenimplantation) mit vollständiger Kompensation einschließlich</w:t>
      </w:r>
    </w:p>
    <w:p>
      <w:r>
        <w:rPr>
          <w:rFonts w:ascii="Courier New" w:hAnsi="Courier New"/>
          <w:sz w:val="17"/>
        </w:rPr>
        <w:t xml:space="preserve">    Dauerbehandlung mit Antikoagulantien    20</w:t>
      </w:r>
    </w:p>
    <w:p>
      <w:r>
        <w:rPr>
          <w:rFonts w:ascii="Courier New" w:hAnsi="Courier New"/>
          <w:sz w:val="17"/>
        </w:rPr>
        <w:t xml:space="preserve">    Arteriovenöse Fisteln    </w:t>
      </w:r>
    </w:p>
    <w:p>
      <w:r>
        <w:rPr>
          <w:rFonts w:ascii="Courier New" w:hAnsi="Courier New"/>
          <w:sz w:val="17"/>
        </w:rPr>
        <w:t xml:space="preserve">        Der GdS richtet sich nach den hämodynamischen Auswirkungen am Herzen und/oder in der Peripherie.</w:t>
      </w:r>
    </w:p>
    <w:p>
      <w:r>
        <w:rPr>
          <w:rFonts w:ascii="Courier New" w:hAnsi="Courier New"/>
          <w:sz w:val="17"/>
        </w:rPr>
        <w:t xml:space="preserve">    Aneurysmen (je nach Sitz und Größe)    </w:t>
      </w:r>
    </w:p>
    <w:p>
      <w:r>
        <w:rPr>
          <w:rFonts w:ascii="Courier New" w:hAnsi="Courier New"/>
          <w:sz w:val="17"/>
        </w:rPr>
        <w:t xml:space="preserve">        ohne lokale Funktionsstörung und ohne Einschränkung der Belastbarkeit    0-10</w:t>
      </w:r>
    </w:p>
    <w:p>
      <w:r>
        <w:rPr>
          <w:rFonts w:ascii="Courier New" w:hAnsi="Courier New"/>
          <w:sz w:val="17"/>
        </w:rPr>
        <w:t xml:space="preserve">        ohne oder mit nur geringer lokaler Funktionsstörung mit Einschränkung der Belastbarkeit    20-40</w:t>
      </w:r>
    </w:p>
    <w:p>
      <w:r>
        <w:rPr>
          <w:rFonts w:ascii="Courier New" w:hAnsi="Courier New"/>
          <w:sz w:val="17"/>
        </w:rPr>
        <w:t xml:space="preserve">        große Aneurysmen    wenigstens 50</w:t>
      </w:r>
    </w:p>
    <w:p>
      <w:r>
        <w:rPr>
          <w:rFonts w:ascii="Courier New" w:hAnsi="Courier New"/>
          <w:sz w:val="17"/>
        </w:rPr>
        <w:t xml:space="preserve">        Hierzu gehören immer die dissezierenden Aneurysmen der Aorta und die großen Aneurysmen der Aorta abdominalis und der großen Beckenarterien.</w:t>
      </w:r>
    </w:p>
    <w:p>
      <w:r>
        <w:rPr>
          <w:rFonts w:ascii="Courier New" w:hAnsi="Courier New"/>
          <w:sz w:val="17"/>
        </w:rPr>
        <w:t xml:space="preserve">9.2.3 Unkomplizierte Krampfadern    0</w:t>
      </w:r>
    </w:p>
    <w:p>
      <w:r>
        <w:rPr>
          <w:rFonts w:ascii="Courier New" w:hAnsi="Courier New"/>
          <w:sz w:val="17"/>
        </w:rPr>
        <w:t xml:space="preserve">Chronisch-venöse Insuffizienz (z. B. bei Krampfadern), postthrombotisches Syndrom ein- oder beidseitig    </w:t>
      </w:r>
    </w:p>
    <w:p>
      <w:r>
        <w:rPr>
          <w:rFonts w:ascii="Courier New" w:hAnsi="Courier New"/>
          <w:sz w:val="17"/>
        </w:rPr>
        <w:t xml:space="preserve">    mit geringem belastungsabhängigem Ödem, nicht ulzerösen Hautveränderungen, ohne wesentliche Stauungsbeschwerden    0-10</w:t>
      </w:r>
    </w:p>
    <w:p>
      <w:r>
        <w:rPr>
          <w:rFonts w:ascii="Courier New" w:hAnsi="Courier New"/>
          <w:sz w:val="17"/>
        </w:rPr>
        <w:t xml:space="preserve">    mit erheblicher Ödembildung, häufig (mehrmals im Jahr) rezidivierenden Entzündungen    20-30</w:t>
      </w:r>
    </w:p>
    <w:p>
      <w:r>
        <w:rPr>
          <w:rFonts w:ascii="Courier New" w:hAnsi="Courier New"/>
          <w:sz w:val="17"/>
        </w:rPr>
        <w:t xml:space="preserve">    mit chronischen rezidivierenden Geschwüren, je nach Ausdehnung und Häufigkeit (einschließlich arthrogenes Stauungssyndrom)    30-50</w:t>
      </w:r>
    </w:p>
    <w:p>
      <w:r>
        <w:rPr>
          <w:rFonts w:ascii="Courier New" w:hAnsi="Courier New"/>
          <w:sz w:val="17"/>
        </w:rPr>
        <w:t xml:space="preserve">Lymphödem    </w:t>
      </w:r>
    </w:p>
    <w:p>
      <w:r>
        <w:rPr>
          <w:rFonts w:ascii="Courier New" w:hAnsi="Courier New"/>
          <w:sz w:val="17"/>
        </w:rPr>
        <w:t xml:space="preserve">    an einer Gliedmaße    </w:t>
      </w:r>
    </w:p>
    <w:p>
      <w:r>
        <w:rPr>
          <w:rFonts w:ascii="Courier New" w:hAnsi="Courier New"/>
          <w:sz w:val="17"/>
        </w:rPr>
        <w:t xml:space="preserve">    ohne wesentliche Funktionsbehinderung, Erfordernis einer Kompressionsbandage    0-10</w:t>
      </w:r>
    </w:p>
    <w:p>
      <w:r>
        <w:rPr>
          <w:rFonts w:ascii="Courier New" w:hAnsi="Courier New"/>
          <w:sz w:val="17"/>
        </w:rPr>
        <w:t xml:space="preserve">    mit stärkerer Umfangsvermehrung (mehr als 3 cm) je nach Funktionseinschränkung    20-40</w:t>
      </w:r>
    </w:p>
    <w:p>
      <w:r>
        <w:rPr>
          <w:rFonts w:ascii="Courier New" w:hAnsi="Courier New"/>
          <w:sz w:val="17"/>
        </w:rPr>
        <w:t xml:space="preserve">    mit erheblicher Beeinträchtigung der Gebrauchsfähigkeit der betroffenen Gliedmaße, je nach Ausmaß    50-70</w:t>
      </w:r>
    </w:p>
    <w:p>
      <w:r>
        <w:rPr>
          <w:rFonts w:ascii="Courier New" w:hAnsi="Courier New"/>
          <w:sz w:val="17"/>
        </w:rPr>
        <w:t xml:space="preserve">    bei Gebrauchsunfähigkeit der ganzen Gliedmaße    80</w:t>
      </w:r>
    </w:p>
    <w:p>
      <w:r>
        <w:rPr>
          <w:rFonts w:ascii="Courier New" w:hAnsi="Courier New"/>
          <w:sz w:val="17"/>
        </w:rPr>
        <w:t xml:space="preserve">Entstellungen bei sehr ausgeprägten Formen sind ggf. zusätzlich zu berücksichtigen.    </w:t>
      </w:r>
    </w:p>
    <w:p>
      <w:r>
        <w:rPr>
          <w:rFonts w:ascii="Courier New" w:hAnsi="Courier New"/>
          <w:sz w:val="17"/>
        </w:rPr>
        <w:t xml:space="preserve">9.3 Hypertonie (Bluthochdruck)    </w:t>
      </w:r>
    </w:p>
    <w:p>
      <w:r>
        <w:rPr>
          <w:rFonts w:ascii="Courier New" w:hAnsi="Courier New"/>
          <w:sz w:val="17"/>
        </w:rPr>
        <w:t xml:space="preserve">    leichte Form    </w:t>
      </w:r>
    </w:p>
    <w:p>
      <w:r>
        <w:rPr>
          <w:rFonts w:ascii="Courier New" w:hAnsi="Courier New"/>
          <w:sz w:val="17"/>
        </w:rPr>
        <w:t xml:space="preserve">    keine oder geringe Leistungsbeeinträchtigung (höchstens leichte Augenhintergrundveränderungen)    0-10</w:t>
      </w:r>
    </w:p>
    <w:p>
      <w:r>
        <w:rPr>
          <w:rFonts w:ascii="Courier New" w:hAnsi="Courier New"/>
          <w:sz w:val="17"/>
        </w:rPr>
        <w:t xml:space="preserve">    mittelschwere Form    </w:t>
      </w:r>
    </w:p>
    <w:p>
      <w:r>
        <w:rPr>
          <w:rFonts w:ascii="Courier New" w:hAnsi="Courier New"/>
          <w:sz w:val="17"/>
        </w:rPr>
        <w:t xml:space="preserve">    mit Organbeteiligung leichten bis mittleren Grades (Augenhintergrundveränderungen - Fundus hypertonicus I-II - und/oder Linkshypertrophie des Herzens und/oder Proteinurie), diastolischer Blutdruck mehrfach über 100 mm Hg trotz Behandlung, je nach Leistungsbeeinträchtigung    20-40</w:t>
      </w:r>
    </w:p>
    <w:p>
      <w:r>
        <w:rPr>
          <w:rFonts w:ascii="Courier New" w:hAnsi="Courier New"/>
          <w:sz w:val="17"/>
        </w:rPr>
        <w:t xml:space="preserve">    schwere Form    </w:t>
      </w:r>
    </w:p>
    <w:p>
      <w:r>
        <w:rPr>
          <w:rFonts w:ascii="Courier New" w:hAnsi="Courier New"/>
          <w:sz w:val="17"/>
        </w:rPr>
        <w:t xml:space="preserve">    mit Beteiligung mehrerer Organe (schwere Augenhintergrundveränderungen und Beeinträchtigung der Herzfunktion, der Nierenfunktion und/oder der Hirndurchblutung) je nach Art und Ausmaß der Leistungsbeeinträchtigung    50-100</w:t>
      </w:r>
    </w:p>
    <w:p>
      <w:r>
        <w:rPr>
          <w:rFonts w:ascii="Courier New" w:hAnsi="Courier New"/>
          <w:sz w:val="17"/>
        </w:rPr>
        <w:t xml:space="preserve">    maligne Form    </w:t>
      </w:r>
    </w:p>
    <w:p>
      <w:r>
        <w:rPr>
          <w:rFonts w:ascii="Courier New" w:hAnsi="Courier New"/>
          <w:sz w:val="17"/>
        </w:rPr>
        <w:t xml:space="preserve">    diastolischer Blutdruck konstant über 130 mm Hg; Fundus hypertonicus III-IV (Papillenödem, Venenstauung, Exsudate, Blutungen, schwerste arterielle Gefäßveränderungen); unter Einschluss der Organbeteiligung (Herz, Nieren, Gehirn)    100</w:t>
      </w:r>
    </w:p>
    <w:p>
      <w:r>
        <w:rPr>
          <w:rFonts w:ascii="Courier New" w:hAnsi="Courier New"/>
          <w:sz w:val="17"/>
        </w:rPr>
        <w:t xml:space="preserve">Funktionelle kardiovaskuläre Syndrome, (z. B. orthostatische Fehlregulation)    </w:t>
      </w:r>
    </w:p>
    <w:p>
      <w:r>
        <w:rPr>
          <w:rFonts w:ascii="Courier New" w:hAnsi="Courier New"/>
          <w:sz w:val="17"/>
        </w:rPr>
        <w:t xml:space="preserve">    mit leichten Beschwerden    0</w:t>
      </w:r>
    </w:p>
    <w:p>
      <w:r>
        <w:rPr>
          <w:rFonts w:ascii="Courier New" w:hAnsi="Courier New"/>
          <w:sz w:val="17"/>
        </w:rPr>
        <w:t xml:space="preserve">    mit stärkeren Beschwerden und Kollapsneigung    10-20</w:t>
      </w:r>
    </w:p>
    <w:p>
      <w:pPr>
        <w:ind w:left="420"/>
      </w:pPr>
      <w:r>
        <w:t xml:space="preserve">10. Verdauungsorgane</w:t>
      </w:r>
    </w:p>
    <w:p>
      <w:r>
        <w:rPr>
          <w:rFonts w:ascii="Courier New" w:hAnsi="Courier New"/>
          <w:sz w:val="17"/>
        </w:rPr>
        <w:t xml:space="preserve">10.1 Speiseröhrenkrankheiten</w:t>
      </w:r>
    </w:p>
    <w:p>
      <w:r>
        <w:rPr>
          <w:rFonts w:ascii="Courier New" w:hAnsi="Courier New"/>
          <w:sz w:val="17"/>
        </w:rPr>
        <w:t xml:space="preserve">Traktionsdivertikel je nach Größe und Beschwerden    0-10</w:t>
      </w:r>
    </w:p>
    <w:p>
      <w:r>
        <w:rPr>
          <w:rFonts w:ascii="Courier New" w:hAnsi="Courier New"/>
          <w:sz w:val="17"/>
        </w:rPr>
        <w:t xml:space="preserve">Pulsionsdivertikel    </w:t>
      </w:r>
    </w:p>
    <w:p>
      <w:r>
        <w:rPr>
          <w:rFonts w:ascii="Courier New" w:hAnsi="Courier New"/>
          <w:sz w:val="17"/>
        </w:rPr>
        <w:t xml:space="preserve">    ohne wesentliche Behinderung der Nahrungsaufnahme je nach Größe und Beschwerden    0-10</w:t>
      </w:r>
    </w:p>
    <w:p>
      <w:r>
        <w:rPr>
          <w:rFonts w:ascii="Courier New" w:hAnsi="Courier New"/>
          <w:sz w:val="17"/>
        </w:rPr>
        <w:t xml:space="preserve">    mit erheblicher Behinderung der Nahrungsaufnahme je nach Auswirkung auf den Allgemeinzustand    20-40</w:t>
      </w:r>
    </w:p>
    <w:p>
      <w:r>
        <w:rPr>
          <w:rFonts w:ascii="Courier New" w:hAnsi="Courier New"/>
          <w:sz w:val="17"/>
        </w:rPr>
        <w:t xml:space="preserve">Funktionelle Stenosen der Speiseröhre (Ösophagospasmus, Achalasie)    </w:t>
      </w:r>
    </w:p>
    <w:p>
      <w:r>
        <w:rPr>
          <w:rFonts w:ascii="Courier New" w:hAnsi="Courier New"/>
          <w:sz w:val="17"/>
        </w:rPr>
        <w:t xml:space="preserve">    ohne wesentliche Behinderung der Nahrungsaufnahme    0-10</w:t>
      </w:r>
    </w:p>
    <w:p>
      <w:r>
        <w:rPr>
          <w:rFonts w:ascii="Courier New" w:hAnsi="Courier New"/>
          <w:sz w:val="17"/>
        </w:rPr>
        <w:t xml:space="preserve">    mit deutlicher Behinderung der Nahrungsaufnahme    20-40</w:t>
      </w:r>
    </w:p>
    <w:p>
      <w:r>
        <w:rPr>
          <w:rFonts w:ascii="Courier New" w:hAnsi="Courier New"/>
          <w:sz w:val="17"/>
        </w:rPr>
        <w:t xml:space="preserve">    mit erheblicher Beeinträchtigung des Kräfte- und Ernährungszustandes, häufige Aspiration    50-70</w:t>
      </w:r>
    </w:p>
    <w:p>
      <w:r>
        <w:rPr>
          <w:rFonts w:ascii="Courier New" w:hAnsi="Courier New"/>
          <w:sz w:val="17"/>
        </w:rPr>
        <w:t xml:space="preserve">    Auswirkungen auf Nachbarorgane (z. B. durch Aspiration) sind zusätzlich zu bewerten.    </w:t>
      </w:r>
    </w:p>
    <w:p>
      <w:r>
        <w:rPr>
          <w:rFonts w:ascii="Courier New" w:hAnsi="Courier New"/>
          <w:sz w:val="17"/>
        </w:rPr>
        <w:t xml:space="preserve">Organische Stenose der Speiseröhre (z. B. angeboren, nach Laugenverätzung, Narbenstenose, peptische Striktur)    </w:t>
      </w:r>
    </w:p>
    <w:p>
      <w:r>
        <w:rPr>
          <w:rFonts w:ascii="Courier New" w:hAnsi="Courier New"/>
          <w:sz w:val="17"/>
        </w:rPr>
        <w:t xml:space="preserve">    ohne wesentliche Behinderung der Nahrungsaufnahme je nach Größe und Beschwerden    0-10</w:t>
      </w:r>
    </w:p>
    <w:p>
      <w:r>
        <w:rPr>
          <w:rFonts w:ascii="Courier New" w:hAnsi="Courier New"/>
          <w:sz w:val="17"/>
        </w:rPr>
        <w:t xml:space="preserve">    mit deutlicher Behinderung der Nahrungsaufnahme je nach Auswirkung (Einschränkung der Kostform, verlängerte Essdauer)    20-40</w:t>
      </w:r>
    </w:p>
    <w:p>
      <w:r>
        <w:rPr>
          <w:rFonts w:ascii="Courier New" w:hAnsi="Courier New"/>
          <w:sz w:val="17"/>
        </w:rPr>
        <w:t xml:space="preserve">    mit erheblicher Beeinträchtigung des Kräfte- und Ernährungszustandes    50-70</w:t>
      </w:r>
    </w:p>
    <w:p>
      <w:r>
        <w:rPr>
          <w:rFonts w:ascii="Courier New" w:hAnsi="Courier New"/>
          <w:sz w:val="17"/>
        </w:rPr>
        <w:t xml:space="preserve">Refluxkrankheit der Speiseröhre    </w:t>
      </w:r>
    </w:p>
    <w:p>
      <w:r>
        <w:rPr>
          <w:rFonts w:ascii="Courier New" w:hAnsi="Courier New"/>
          <w:sz w:val="17"/>
        </w:rPr>
        <w:t xml:space="preserve">    mit anhaltenden Refluxbeschwerden je nach Ausmaß    10-30</w:t>
      </w:r>
    </w:p>
    <w:p>
      <w:r>
        <w:rPr>
          <w:rFonts w:ascii="Courier New" w:hAnsi="Courier New"/>
          <w:sz w:val="17"/>
        </w:rPr>
        <w:t xml:space="preserve">    Auswirkungen auf Nachbarorgane sind zusätzlich zu bewerten.    </w:t>
      </w:r>
    </w:p>
    <w:p>
      <w:r>
        <w:rPr>
          <w:rFonts w:ascii="Courier New" w:hAnsi="Courier New"/>
          <w:sz w:val="17"/>
        </w:rPr>
        <w:t xml:space="preserve">Nach Entfernung eines malignen Speiseröhrentumors ist in den ersten fünf Jahren eine Heilungsbewährung abzuwarten. GdS während dieser Zeit</w:t>
      </w:r>
    </w:p>
    <w:p>
      <w:r>
        <w:rPr>
          <w:rFonts w:ascii="Courier New" w:hAnsi="Courier New"/>
          <w:sz w:val="17"/>
        </w:rPr>
        <w:t xml:space="preserve">    je nach Beeinträchtigung des Kräfte- und Ernährungszustandes    80-100</w:t>
      </w:r>
    </w:p>
    <w:p>
      <w:r>
        <w:rPr>
          <w:rFonts w:ascii="Courier New" w:hAnsi="Courier New"/>
          <w:sz w:val="17"/>
        </w:rPr>
        <w:t xml:space="preserve">Speiseröhrenersatz    </w:t>
      </w:r>
    </w:p>
    <w:p>
      <w:r>
        <w:rPr>
          <w:rFonts w:ascii="Courier New" w:hAnsi="Courier New"/>
          <w:sz w:val="17"/>
        </w:rPr>
        <w:t xml:space="preserve">    Der GdS ist nach den Auswirkungen (z. B. Schluckstörungen, Reflux, Narben) jedoch nicht unter 20 zu bewerten.</w:t>
      </w:r>
    </w:p>
    <w:p>
      <w:r>
        <w:rPr>
          <w:rFonts w:ascii="Courier New" w:hAnsi="Courier New"/>
          <w:sz w:val="17"/>
        </w:rPr>
        <w:t xml:space="preserve">10.2 Magen- und Darmkrankheiten</w:t>
      </w:r>
    </w:p>
    <w:p>
      <w:r>
        <w:rPr>
          <w:rFonts w:ascii="Courier New" w:hAnsi="Courier New"/>
          <w:sz w:val="17"/>
        </w:rPr>
        <w:t xml:space="preserve">Bei organischen und funktionellen Krankheiten des Magen-Darmkanals ist der GdS nach dem Grad der Beeinträchtigung des Allgemeinzustandes, der Schwere der Organstörung und nach der Notwendigkeit besonderer Diätkost zu beurteilen. Bei allergisch bedingten Krankheiten ist auch die Vermeidbarkeit der Allergene von Bedeutung.</w:t>
      </w:r>
    </w:p>
    <w:p>
      <w:r>
        <w:rPr>
          <w:rFonts w:ascii="Courier New" w:hAnsi="Courier New"/>
          <w:sz w:val="17"/>
        </w:rPr>
        <w:t xml:space="preserve">10.2.1 Magen- oder Zwölffingerdarmgeschwürsleiden (chronisch rezidivierende Geschwüre, Intervallbeschwerden)</w:t>
      </w:r>
    </w:p>
    <w:p>
      <w:r>
        <w:rPr>
          <w:rFonts w:ascii="Courier New" w:hAnsi="Courier New"/>
          <w:sz w:val="17"/>
        </w:rPr>
        <w:t xml:space="preserve">    mit Rezidiven in Abständen von zwei bis drei Jahren    0-10</w:t>
      </w:r>
    </w:p>
    <w:p>
      <w:r>
        <w:rPr>
          <w:rFonts w:ascii="Courier New" w:hAnsi="Courier New"/>
          <w:sz w:val="17"/>
        </w:rPr>
        <w:t xml:space="preserve">    mit häufigeren Rezidiven und Beeinträchtigung des Ernährungs- und Kräftezustandes    20-30</w:t>
      </w:r>
    </w:p>
    <w:p>
      <w:r>
        <w:rPr>
          <w:rFonts w:ascii="Courier New" w:hAnsi="Courier New"/>
          <w:sz w:val="17"/>
        </w:rPr>
        <w:t xml:space="preserve">    mit erheblichen Komplikationen (z. B. Magenausgangsstenose) und andauernder erheblicher Minderung des Ernährungs- und Kräftezustandes    40-50</w:t>
      </w:r>
    </w:p>
    <w:p>
      <w:r>
        <w:rPr>
          <w:rFonts w:ascii="Courier New" w:hAnsi="Courier New"/>
          <w:sz w:val="17"/>
        </w:rPr>
        <w:t xml:space="preserve">Nach einer selektiven proximalen Vagotomie kommt ein GdS nur in Betracht, wenn postoperative Darmstörungen oder noch Auswirkungen des Grundleidens vorliegen.</w:t>
      </w:r>
    </w:p>
    <w:p>
      <w:r>
        <w:rPr>
          <w:rFonts w:ascii="Courier New" w:hAnsi="Courier New"/>
          <w:sz w:val="17"/>
        </w:rPr>
        <w:t xml:space="preserve">Chronische Gastritis (histologisch gesicherte Veränderung der Magenschleimhaut)    0-10</w:t>
      </w:r>
    </w:p>
    <w:p>
      <w:r>
        <w:rPr>
          <w:rFonts w:ascii="Courier New" w:hAnsi="Courier New"/>
          <w:sz w:val="17"/>
        </w:rPr>
        <w:t xml:space="preserve">Reizmagen (funktionelle Dyspepsie)    0-10</w:t>
      </w:r>
    </w:p>
    <w:p>
      <w:r>
        <w:rPr>
          <w:rFonts w:ascii="Courier New" w:hAnsi="Courier New"/>
          <w:sz w:val="17"/>
        </w:rPr>
        <w:t xml:space="preserve">Teilentfernung des Magens, Gastroenterostomie    </w:t>
      </w:r>
    </w:p>
    <w:p>
      <w:r>
        <w:rPr>
          <w:rFonts w:ascii="Courier New" w:hAnsi="Courier New"/>
          <w:sz w:val="17"/>
        </w:rPr>
        <w:t xml:space="preserve">    mit guter Funktion, je nach Beschwerden    0-10</w:t>
      </w:r>
    </w:p>
    <w:p>
      <w:r>
        <w:rPr>
          <w:rFonts w:ascii="Courier New" w:hAnsi="Courier New"/>
          <w:sz w:val="17"/>
        </w:rPr>
        <w:t xml:space="preserve">    mit anhaltenden Beschwerden (z. B. Dumping-Syndrom, rezidivierendes Ulcus jejuni pepticum)    20-40</w:t>
      </w:r>
    </w:p>
    <w:p>
      <w:r>
        <w:rPr>
          <w:rFonts w:ascii="Courier New" w:hAnsi="Courier New"/>
          <w:sz w:val="17"/>
        </w:rPr>
        <w:t xml:space="preserve">Totalentfernung des Magens    </w:t>
      </w:r>
    </w:p>
    <w:p>
      <w:r>
        <w:rPr>
          <w:rFonts w:ascii="Courier New" w:hAnsi="Courier New"/>
          <w:sz w:val="17"/>
        </w:rPr>
        <w:t xml:space="preserve">    ohne Beeinträchtigung des Kräfte- und Ernährungszustandes je nach Beschwerden    20-30</w:t>
      </w:r>
    </w:p>
    <w:p>
      <w:r>
        <w:rPr>
          <w:rFonts w:ascii="Courier New" w:hAnsi="Courier New"/>
          <w:sz w:val="17"/>
        </w:rPr>
        <w:t xml:space="preserve">    bei Beeinträchtigung des Kräfte- und Ernährungszustandes und/oder Komplikationen (z. B. Dumping-Syndrom)    40-50</w:t>
      </w:r>
    </w:p>
    <w:p>
      <w:r>
        <w:rPr>
          <w:rFonts w:ascii="Courier New" w:hAnsi="Courier New"/>
          <w:sz w:val="17"/>
        </w:rPr>
        <w:t xml:space="preserve">Nach Entfernung eines malignen Magentumors ist eine Heilungsbewährung abzuwarten.</w:t>
      </w:r>
    </w:p>
    <w:p>
      <w:r>
        <w:rPr>
          <w:rFonts w:ascii="Courier New" w:hAnsi="Courier New"/>
          <w:sz w:val="17"/>
        </w:rPr>
        <w:t xml:space="preserve">GdS während einer Heilungsbewährung von zwei Jahren nach Entfernung eines Magenfrühkarzinoms    50</w:t>
      </w:r>
    </w:p>
    <w:p>
      <w:r>
        <w:rPr>
          <w:rFonts w:ascii="Courier New" w:hAnsi="Courier New"/>
          <w:sz w:val="17"/>
        </w:rPr>
        <w:t xml:space="preserve">GdS während einer Heilungsbewährung von fünf Jahren nach Entfernung aller anderen malignen Magentumoren je    </w:t>
      </w:r>
    </w:p>
    <w:p>
      <w:r>
        <w:rPr>
          <w:rFonts w:ascii="Courier New" w:hAnsi="Courier New"/>
          <w:sz w:val="17"/>
        </w:rPr>
        <w:t xml:space="preserve">nach Stadium und Auswirkung auf den Allgemeinzustand    80-100</w:t>
      </w:r>
    </w:p>
    <w:p>
      <w:r>
        <w:rPr>
          <w:rFonts w:ascii="Courier New" w:hAnsi="Courier New"/>
          <w:sz w:val="17"/>
        </w:rPr>
        <w:t xml:space="preserve">10.2.2 Chronische Darmstörungen (irritabler Darm, Divertikulose, Divertikulitis, Darmteilresektion)</w:t>
      </w:r>
    </w:p>
    <w:p>
      <w:r>
        <w:rPr>
          <w:rFonts w:ascii="Courier New" w:hAnsi="Courier New"/>
          <w:sz w:val="17"/>
        </w:rPr>
        <w:t xml:space="preserve">    ohne wesentliche Beschwerden und Auswirkungen    0-10</w:t>
      </w:r>
    </w:p>
    <w:p>
      <w:r>
        <w:rPr>
          <w:rFonts w:ascii="Courier New" w:hAnsi="Courier New"/>
          <w:sz w:val="17"/>
        </w:rPr>
        <w:t xml:space="preserve">    mit stärkeren und häufig rezidivierenden oder anhaltenden Symptomen (z. B. Durchfälle, Spasmen)    20-30</w:t>
      </w:r>
    </w:p>
    <w:p>
      <w:r>
        <w:rPr>
          <w:rFonts w:ascii="Courier New" w:hAnsi="Courier New"/>
          <w:sz w:val="17"/>
        </w:rPr>
        <w:t xml:space="preserve">    mit erheblicher Minderung des Kräfte- und Ernährungszustandes    40-50</w:t>
      </w:r>
    </w:p>
    <w:p>
      <w:r>
        <w:rPr>
          <w:rFonts w:ascii="Courier New" w:hAnsi="Courier New"/>
          <w:sz w:val="17"/>
        </w:rPr>
        <w:t xml:space="preserve">Angeborene Motilitätsstörungen des Darmes (z. B. Hirschsprung-Krankheit, neuronale Dysplasie)    </w:t>
      </w:r>
    </w:p>
    <w:p>
      <w:r>
        <w:rPr>
          <w:rFonts w:ascii="Courier New" w:hAnsi="Courier New"/>
          <w:sz w:val="17"/>
        </w:rPr>
        <w:t xml:space="preserve">    ohne wesentliche Gedeih- und Entwicklungsstörung    10-20</w:t>
      </w:r>
    </w:p>
    <w:p>
      <w:r>
        <w:rPr>
          <w:rFonts w:ascii="Courier New" w:hAnsi="Courier New"/>
          <w:sz w:val="17"/>
        </w:rPr>
        <w:t xml:space="preserve">    mit geringer Gedeih- und Entwicklungsstörung    30-40</w:t>
      </w:r>
    </w:p>
    <w:p>
      <w:r>
        <w:rPr>
          <w:rFonts w:ascii="Courier New" w:hAnsi="Courier New"/>
          <w:sz w:val="17"/>
        </w:rPr>
        <w:t xml:space="preserve">    mit mittelgradiger Gedeih- und Entwicklungsstörung    50</w:t>
      </w:r>
    </w:p>
    <w:p>
      <w:r>
        <w:rPr>
          <w:rFonts w:ascii="Courier New" w:hAnsi="Courier New"/>
          <w:sz w:val="17"/>
        </w:rPr>
        <w:t xml:space="preserve">    mit schwerer Gedeih- und Entwicklungsstörung    60-70</w:t>
      </w:r>
    </w:p>
    <w:p>
      <w:r>
        <w:rPr>
          <w:rFonts w:ascii="Courier New" w:hAnsi="Courier New"/>
          <w:sz w:val="17"/>
        </w:rPr>
        <w:t xml:space="preserve">Kurzdarmsyndrom im Kindesalter    </w:t>
      </w:r>
    </w:p>
    <w:p>
      <w:r>
        <w:rPr>
          <w:rFonts w:ascii="Courier New" w:hAnsi="Courier New"/>
          <w:sz w:val="17"/>
        </w:rPr>
        <w:t xml:space="preserve">    mit mittelschwerer Gedeih- und Entwicklungsstörung    50-60</w:t>
      </w:r>
    </w:p>
    <w:p>
      <w:r>
        <w:rPr>
          <w:rFonts w:ascii="Courier New" w:hAnsi="Courier New"/>
          <w:sz w:val="17"/>
        </w:rPr>
        <w:t xml:space="preserve">    mit schwerer Gedeih- und Entwicklungsstörung (z. B. Notwendigkeit künstlicher Ernährung)    70-100</w:t>
      </w:r>
    </w:p>
    <w:p>
      <w:r>
        <w:rPr>
          <w:rFonts w:ascii="Courier New" w:hAnsi="Courier New"/>
          <w:sz w:val="17"/>
        </w:rPr>
        <w:t xml:space="preserve">Colitis ulcerosa, Crohn-Krankheit (Enteritis regionalis)</w:t>
      </w:r>
    </w:p>
    <w:p>
      <w:r>
        <w:rPr>
          <w:rFonts w:ascii="Courier New" w:hAnsi="Courier New"/>
          <w:sz w:val="17"/>
        </w:rPr>
        <w:t xml:space="preserve">    mit geringer Auswirkung (geringe Beschwerden, keine oder geringe Beeinträchtigung des Kräfte- und Ernährungszustandes, selten Durchfälle)    10-20</w:t>
      </w:r>
    </w:p>
    <w:p>
      <w:r>
        <w:rPr>
          <w:rFonts w:ascii="Courier New" w:hAnsi="Courier New"/>
          <w:sz w:val="17"/>
        </w:rPr>
        <w:t xml:space="preserve">    mit mittelschwerer Auswirkung (häufig rezidivierende oder länger anhaltende Beschwerden, geringe bis mittelschwere Beeinträchtigung des Kräfte- und Ernährungszustandes, häufiger Durchfälle)    30-40</w:t>
      </w:r>
    </w:p>
    <w:p>
      <w:r>
        <w:rPr>
          <w:rFonts w:ascii="Courier New" w:hAnsi="Courier New"/>
          <w:sz w:val="17"/>
        </w:rPr>
        <w:t xml:space="preserve">    mit schwerer Auswirkung (anhaltende oder häufig rezidivierende erhebliche Beschwerden, erhebliche Beeinträchtigung des Kräfte- und Ernährungszustandes, häufige, tägliche, auch nächtliche Durchfälle)    50-60</w:t>
      </w:r>
    </w:p>
    <w:p>
      <w:r>
        <w:rPr>
          <w:rFonts w:ascii="Courier New" w:hAnsi="Courier New"/>
          <w:sz w:val="17"/>
        </w:rPr>
        <w:t xml:space="preserve">    mit schwerster Auswirkung (häufig rezidivierende oder anhaltende schwere Beschwerden, schwere Beeinträchtigung des Kräfte- und Ernährungszustandes, ausgeprägte Anämie)    70-80</w:t>
      </w:r>
    </w:p>
    <w:p>
      <w:r>
        <w:rPr>
          <w:rFonts w:ascii="Courier New" w:hAnsi="Courier New"/>
          <w:sz w:val="17"/>
        </w:rPr>
        <w:t xml:space="preserve">    Fisteln, Stenosen, postoperative Folgezustände (z. B. Kurzdarmsyndrom, Stoma-komplikationen), extraintestinale Manifestationen (z. B. Arthritiden), bei Kindern auch Wachstums- und Entwicklungsstörungen, sind zusätzlich zu bewerten.</w:t>
      </w:r>
    </w:p>
    <w:p>
      <w:r>
        <w:rPr>
          <w:rFonts w:ascii="Courier New" w:hAnsi="Courier New"/>
          <w:sz w:val="17"/>
        </w:rPr>
        <w:t xml:space="preserve">Zöliakie, Sprue    </w:t>
      </w:r>
    </w:p>
    <w:p>
      <w:r>
        <w:rPr>
          <w:rFonts w:ascii="Courier New" w:hAnsi="Courier New"/>
          <w:sz w:val="17"/>
        </w:rPr>
        <w:t xml:space="preserve">    ohne wesentliche Folgeerscheinungen unter diätetischer Therapie    20</w:t>
      </w:r>
    </w:p>
    <w:p>
      <w:r>
        <w:rPr>
          <w:rFonts w:ascii="Courier New" w:hAnsi="Courier New"/>
          <w:sz w:val="17"/>
        </w:rPr>
        <w:t xml:space="preserve">    bei andauerndem, ungenügendem Ansprechen auf glutenfreie Kost (selten) sind - je nach Beeinträchtigung des Kräfte- und Ernährungszustands - höhere Werte angemessen.    </w:t>
      </w:r>
    </w:p>
    <w:p>
      <w:r>
        <w:rPr>
          <w:rFonts w:ascii="Courier New" w:hAnsi="Courier New"/>
          <w:sz w:val="17"/>
        </w:rPr>
        <w:t xml:space="preserve">Nach Entfernung maligner Darmtumoren ist eine Heilungsbewährung abzuwarten.    </w:t>
      </w:r>
    </w:p>
    <w:p>
      <w:r>
        <w:rPr>
          <w:rFonts w:ascii="Courier New" w:hAnsi="Courier New"/>
          <w:sz w:val="17"/>
        </w:rPr>
        <w:t xml:space="preserve">GdS während einer Heilungsbewährung von zwei Jahren    </w:t>
      </w:r>
    </w:p>
    <w:p>
      <w:r>
        <w:rPr>
          <w:rFonts w:ascii="Courier New" w:hAnsi="Courier New"/>
          <w:sz w:val="17"/>
        </w:rPr>
        <w:t xml:space="preserve">    nach Entfernung eines malignen Darmtumors im Stadium (T1 bis T2) N0 M0 oder von lokalisierten Darmkarzinoiden    50</w:t>
      </w:r>
    </w:p>
    <w:p>
      <w:r>
        <w:rPr>
          <w:rFonts w:ascii="Courier New" w:hAnsi="Courier New"/>
          <w:sz w:val="17"/>
        </w:rPr>
        <w:t xml:space="preserve">    mit künstlichem After (nicht nur vorübergehend angelegt)    70-80</w:t>
      </w:r>
    </w:p>
    <w:p>
      <w:r>
        <w:rPr>
          <w:rFonts w:ascii="Courier New" w:hAnsi="Courier New"/>
          <w:sz w:val="17"/>
        </w:rPr>
        <w:t xml:space="preserve">GdS während einer Heilungsbewährung von fünf Jahren    </w:t>
      </w:r>
    </w:p>
    <w:p>
      <w:r>
        <w:rPr>
          <w:rFonts w:ascii="Courier New" w:hAnsi="Courier New"/>
          <w:sz w:val="17"/>
        </w:rPr>
        <w:t xml:space="preserve">    nach Entfernung anderer maligner Darmtumoren    wenigstens 80</w:t>
      </w:r>
    </w:p>
    <w:p>
      <w:r>
        <w:rPr>
          <w:rFonts w:ascii="Courier New" w:hAnsi="Courier New"/>
          <w:sz w:val="17"/>
        </w:rPr>
        <w:t xml:space="preserve">    mit künstlichem After (nicht nur vorübergehend angelegt)    100</w:t>
      </w:r>
    </w:p>
    <w:p>
      <w:r>
        <w:rPr>
          <w:rFonts w:ascii="Courier New" w:hAnsi="Courier New"/>
          <w:sz w:val="17"/>
        </w:rPr>
        <w:t xml:space="preserve">10.2.3 Bauchfellverwachsungen    </w:t>
      </w:r>
    </w:p>
    <w:p>
      <w:r>
        <w:rPr>
          <w:rFonts w:ascii="Courier New" w:hAnsi="Courier New"/>
          <w:sz w:val="17"/>
        </w:rPr>
        <w:t xml:space="preserve">    ohne wesentliche Auswirkung    0-10</w:t>
      </w:r>
    </w:p>
    <w:p>
      <w:r>
        <w:rPr>
          <w:rFonts w:ascii="Courier New" w:hAnsi="Courier New"/>
          <w:sz w:val="17"/>
        </w:rPr>
        <w:t xml:space="preserve">    mit erheblichen Passagestörungen    20-30</w:t>
      </w:r>
    </w:p>
    <w:p>
      <w:r>
        <w:rPr>
          <w:rFonts w:ascii="Courier New" w:hAnsi="Courier New"/>
          <w:sz w:val="17"/>
        </w:rPr>
        <w:t xml:space="preserve">    mit häufiger rezidivierenden Ileuserscheinungen    40-50</w:t>
      </w:r>
    </w:p>
    <w:p>
      <w:r>
        <w:rPr>
          <w:rFonts w:ascii="Courier New" w:hAnsi="Courier New"/>
          <w:sz w:val="17"/>
        </w:rPr>
        <w:t xml:space="preserve">10.2.4 Hämorrhoiden    </w:t>
      </w:r>
    </w:p>
    <w:p>
      <w:r>
        <w:rPr>
          <w:rFonts w:ascii="Courier New" w:hAnsi="Courier New"/>
          <w:sz w:val="17"/>
        </w:rPr>
        <w:t xml:space="preserve">    ohne erhebliche Beschwerden, geringe Blutungsneigung    0-10</w:t>
      </w:r>
    </w:p>
    <w:p>
      <w:r>
        <w:rPr>
          <w:rFonts w:ascii="Courier New" w:hAnsi="Courier New"/>
          <w:sz w:val="17"/>
        </w:rPr>
        <w:t xml:space="preserve">    mit häufigen rezidivierenden Entzündungen, Thrombosierungen oder stärkeren Blutungen    20</w:t>
      </w:r>
    </w:p>
    <w:p>
      <w:r>
        <w:rPr>
          <w:rFonts w:ascii="Courier New" w:hAnsi="Courier New"/>
          <w:sz w:val="17"/>
        </w:rPr>
        <w:t xml:space="preserve">Mastdarmvorfall    </w:t>
      </w:r>
    </w:p>
    <w:p>
      <w:r>
        <w:rPr>
          <w:rFonts w:ascii="Courier New" w:hAnsi="Courier New"/>
          <w:sz w:val="17"/>
        </w:rPr>
        <w:t xml:space="preserve">    klein, reponierbar    0-10</w:t>
      </w:r>
    </w:p>
    <w:p>
      <w:r>
        <w:rPr>
          <w:rFonts w:ascii="Courier New" w:hAnsi="Courier New"/>
          <w:sz w:val="17"/>
        </w:rPr>
        <w:t xml:space="preserve">    sonst    20-40</w:t>
      </w:r>
    </w:p>
    <w:p>
      <w:r>
        <w:rPr>
          <w:rFonts w:ascii="Courier New" w:hAnsi="Courier New"/>
          <w:sz w:val="17"/>
        </w:rPr>
        <w:t xml:space="preserve">Afterschließmuskelschwäche    </w:t>
      </w:r>
    </w:p>
    <w:p>
      <w:r>
        <w:rPr>
          <w:rFonts w:ascii="Courier New" w:hAnsi="Courier New"/>
          <w:sz w:val="17"/>
        </w:rPr>
        <w:t xml:space="preserve">    mit seltenem, nur unter besonderen Belastungen auftretendem, unwillkürlichem Stuhlabgang    10</w:t>
      </w:r>
    </w:p>
    <w:p>
      <w:r>
        <w:rPr>
          <w:rFonts w:ascii="Courier New" w:hAnsi="Courier New"/>
          <w:sz w:val="17"/>
        </w:rPr>
        <w:t xml:space="preserve">    sonst    20-40</w:t>
      </w:r>
    </w:p>
    <w:p>
      <w:r>
        <w:rPr>
          <w:rFonts w:ascii="Courier New" w:hAnsi="Courier New"/>
          <w:sz w:val="17"/>
        </w:rPr>
        <w:t xml:space="preserve">Funktionsverlust des Afterschließmuskels    wenigstens 50</w:t>
      </w:r>
    </w:p>
    <w:p>
      <w:r>
        <w:rPr>
          <w:rFonts w:ascii="Courier New" w:hAnsi="Courier New"/>
          <w:sz w:val="17"/>
        </w:rPr>
        <w:t xml:space="preserve">Fistel in der Umgebung des Afters    </w:t>
      </w:r>
    </w:p>
    <w:p>
      <w:r>
        <w:rPr>
          <w:rFonts w:ascii="Courier New" w:hAnsi="Courier New"/>
          <w:sz w:val="17"/>
        </w:rPr>
        <w:t xml:space="preserve">    geringe, nicht ständige Sekretion    10</w:t>
      </w:r>
    </w:p>
    <w:p>
      <w:r>
        <w:rPr>
          <w:rFonts w:ascii="Courier New" w:hAnsi="Courier New"/>
          <w:sz w:val="17"/>
        </w:rPr>
        <w:t xml:space="preserve">    sonst    20-30</w:t>
      </w:r>
    </w:p>
    <w:p>
      <w:r>
        <w:rPr>
          <w:rFonts w:ascii="Courier New" w:hAnsi="Courier New"/>
          <w:sz w:val="17"/>
        </w:rPr>
        <w:t xml:space="preserve">Künstlicher After    </w:t>
      </w:r>
    </w:p>
    <w:p>
      <w:r>
        <w:rPr>
          <w:rFonts w:ascii="Courier New" w:hAnsi="Courier New"/>
          <w:sz w:val="17"/>
        </w:rPr>
        <w:t xml:space="preserve">    mit guter Versorgungsmöglichkeit    50</w:t>
      </w:r>
    </w:p>
    <w:p>
      <w:r>
        <w:rPr>
          <w:rFonts w:ascii="Courier New" w:hAnsi="Courier New"/>
          <w:sz w:val="17"/>
        </w:rPr>
        <w:t xml:space="preserve">    sonst (z. B. bei Bauchwandhernie, Stenose, Retraktion, Prolaps, Narben, ungünstige Position)    60-80</w:t>
      </w:r>
    </w:p>
    <w:p>
      <w:r>
        <w:rPr>
          <w:rFonts w:ascii="Courier New" w:hAnsi="Courier New"/>
          <w:sz w:val="17"/>
        </w:rPr>
        <w:t xml:space="preserve">Bei ausgedehntem Mastdarmvorfall, künstlichem After oder stark sezernierenden Kotfisteln, die zu starker Verschmutzung führen, sind ggf. außergewöhnliche seelische Begleiterscheinungen zusätzlich zu berücksichtigen.</w:t>
      </w:r>
    </w:p>
    <w:p>
      <w:r>
        <w:rPr>
          <w:rFonts w:ascii="Courier New" w:hAnsi="Courier New"/>
          <w:sz w:val="17"/>
        </w:rPr>
        <w:t xml:space="preserve">10.3 Krankheiten der Leber, Gallenwege und Bauchspeicheldrüse</w:t>
      </w:r>
    </w:p>
    <w:p>
      <w:r>
        <w:rPr>
          <w:rFonts w:ascii="Courier New" w:hAnsi="Courier New"/>
          <w:sz w:val="17"/>
        </w:rPr>
        <w:t xml:space="preserve">Der GdS für Krankheiten der Leber, der Gallenwege und der Bauchspeicheldrüse wird bestimmt durch die Art und Schwere der Organveränderungen sowie der Funktionseinbußen, durch das Ausmaß der Beschwerden, die Beeinträchtigung des Allgemeinzustandes und die Notwendigkeit einer besonderen Kostform. Der serologische Nachweis von Antikörpern als Nachweis einer durchgemachten Infektion (Seronarbe) rechtfertigt allein noch keinen GdS.</w:t>
      </w:r>
    </w:p>
    <w:p>
      <w:r>
        <w:rPr>
          <w:rFonts w:ascii="Courier New" w:hAnsi="Courier New"/>
          <w:sz w:val="17"/>
        </w:rPr>
        <w:t xml:space="preserve">10.3.1 Chronische Hepatitis</w:t>
      </w:r>
    </w:p>
    <w:p>
      <w:r>
        <w:rPr>
          <w:rFonts w:ascii="Courier New" w:hAnsi="Courier New"/>
          <w:sz w:val="17"/>
        </w:rPr>
        <w:t xml:space="preserve">Unter dem Begriff „chronische Hepatitis" werden alle chronischen Verlaufsformen von Hepatitiden zusammengefasst (früher: „chronische Hepatitis ohne Progression" &lt;chronisch-persistierende Hepatitis&gt; und „chronische Hepatitis mit Progression" &lt;chronisch aktive Hepatitis&gt; Dazu gehören insbesondere die Virus-, die Autoimmun-, die Arzneimittel- und die kryptogene Hepatitis.</w:t>
      </w:r>
    </w:p>
    <w:p>
      <w:r>
        <w:rPr>
          <w:rFonts w:ascii="Courier New" w:hAnsi="Courier New"/>
          <w:sz w:val="17"/>
        </w:rPr>
        <w:t xml:space="preserve">Die gutachtliche Beurteilung einer chronischen Hepatitis beruht auf dem klinischen Befund einschließlich funktionsrelevanter Laborparameter, auf der Ätiologie sowie auf dem histopathologischen Nachweis des Grades der nekroinflammatorischen Aktivität (Grading) und des Stadiums der Fibrose (Staging). Zusätzlich sind engmaschige Verlaufskontrollen und die Beachtung der Differentialdiagnose erforderlich. Dies gilt auch für geltend gemachte Verschlimmerungen im Leidensverlauf. Der GdS und die Leidensbezeichnung ergeben sich aus der nachfolgenden Tabelle, wobei bereits übliche Befindlichkeitsstörungen - nicht aber extrahepatische Manifestationen - berücksichtigt sind.</w:t>
      </w:r>
    </w:p>
    <w:p>
      <w:r>
        <w:rPr>
          <w:rFonts w:ascii="Courier New" w:hAnsi="Courier New"/>
          <w:sz w:val="17"/>
        </w:rPr>
        <w:t xml:space="preserve">Chronische Hepatitis    </w:t>
      </w:r>
    </w:p>
    <w:p>
      <w:r>
        <w:rPr>
          <w:rFonts w:ascii="Courier New" w:hAnsi="Courier New"/>
          <w:sz w:val="17"/>
        </w:rPr>
        <w:t xml:space="preserve">    ohne (klinisch-) entzündliche Aktivität    20</w:t>
      </w:r>
    </w:p>
    <w:p>
      <w:r>
        <w:rPr>
          <w:rFonts w:ascii="Courier New" w:hAnsi="Courier New"/>
          <w:sz w:val="17"/>
        </w:rPr>
        <w:t xml:space="preserve">    ehemals: chronische Hepatitis ohne Progression    </w:t>
      </w:r>
    </w:p>
    <w:p>
      <w:r>
        <w:rPr>
          <w:rFonts w:ascii="Courier New" w:hAnsi="Courier New"/>
          <w:sz w:val="17"/>
        </w:rPr>
        <w:t xml:space="preserve">    mit geringer (klinisch-) entzündlicher Aktivität    30</w:t>
      </w:r>
    </w:p>
    <w:p>
      <w:r>
        <w:rPr>
          <w:rFonts w:ascii="Courier New" w:hAnsi="Courier New"/>
          <w:sz w:val="17"/>
        </w:rPr>
        <w:t xml:space="preserve">    ehemals: chronische Hepatitis mit Progression, gering entzündliche Aktivität    </w:t>
      </w:r>
    </w:p>
    <w:p>
      <w:r>
        <w:rPr>
          <w:rFonts w:ascii="Courier New" w:hAnsi="Courier New"/>
          <w:sz w:val="17"/>
        </w:rPr>
        <w:t xml:space="preserve">    mit mäßiger (klinisch-) entzündlicher Aktivität    40</w:t>
      </w:r>
    </w:p>
    <w:p>
      <w:r>
        <w:rPr>
          <w:rFonts w:ascii="Courier New" w:hAnsi="Courier New"/>
          <w:sz w:val="17"/>
        </w:rPr>
        <w:t xml:space="preserve">    ehemals: chronische Hepatitis mit Progression, mäßig entzündliche Aktivität    </w:t>
      </w:r>
    </w:p>
    <w:p>
      <w:r>
        <w:rPr>
          <w:rFonts w:ascii="Courier New" w:hAnsi="Courier New"/>
          <w:sz w:val="17"/>
        </w:rPr>
        <w:t xml:space="preserve">    mit starker (klinisch-) entzündlicher Aktivität    </w:t>
      </w:r>
    </w:p>
    <w:p>
      <w:r>
        <w:rPr>
          <w:rFonts w:ascii="Courier New" w:hAnsi="Courier New"/>
          <w:sz w:val="17"/>
        </w:rPr>
        <w:t xml:space="preserve">    ehemals: chronische Hepatitis mit Progression, stark entzündliche Aktivität    </w:t>
      </w:r>
    </w:p>
    <w:p>
      <w:r>
        <w:rPr>
          <w:rFonts w:ascii="Courier New" w:hAnsi="Courier New"/>
          <w:sz w:val="17"/>
        </w:rPr>
        <w:t xml:space="preserve">    je nach Funktionsstörung    50-70</w:t>
      </w:r>
    </w:p>
    <w:p>
      <w:r>
        <w:rPr>
          <w:rFonts w:ascii="Courier New" w:hAnsi="Courier New"/>
          <w:sz w:val="17"/>
        </w:rPr>
        <w:t xml:space="preserve">    Alleinige Virus-Replikation („gesunder Virusträger")    10</w:t>
      </w:r>
    </w:p>
    <w:p>
      <w:r>
        <w:rPr>
          <w:rFonts w:ascii="Courier New" w:hAnsi="Courier New"/>
          <w:sz w:val="17"/>
        </w:rPr>
        <w:t xml:space="preserve">    bei Hepatitis-C-Virus nur nach histologischem Ausschluss einer Hepatitis.    </w:t>
      </w:r>
    </w:p>
    <w:p>
      <w:r>
        <w:rPr>
          <w:rFonts w:ascii="Courier New" w:hAnsi="Courier New"/>
          <w:sz w:val="17"/>
        </w:rPr>
        <w:t xml:space="preserve">Bei Vorliegen eines histologischen Befundes gelten für die Virus-Hepatitiden folgende Besonderheiten:</w:t>
      </w:r>
    </w:p>
    <w:p>
      <w:r>
        <w:rPr>
          <w:rFonts w:ascii="Courier New" w:hAnsi="Courier New"/>
          <w:sz w:val="17"/>
        </w:rPr>
        <w:t xml:space="preserve">Die histopathologische Bewertung der chronischen Virushepatitis umfasst die nekroinflammatorische Aktivität (Grading) und den Grad der Fibrose (Staging). Der GdS ergibt sich aus folgender Tabelle, wobei die genannten GdS-Werte die üblichen klinischen Auswirkungen mit umfassen.</w:t>
      </w:r>
    </w:p>
    <w:p>
      <w:r>
        <w:rPr>
          <w:rFonts w:ascii="Courier New" w:hAnsi="Courier New"/>
          <w:sz w:val="17"/>
        </w:rPr>
        <w:t xml:space="preserve">nekro-inflammatorische Aktivität    Fibrose</w:t>
      </w:r>
    </w:p>
    <w:p>
      <w:r>
        <w:rPr>
          <w:rFonts w:ascii="Courier New" w:hAnsi="Courier New"/>
          <w:sz w:val="17"/>
        </w:rPr>
        <w:t xml:space="preserve">null - gering    mäßig    stark</w:t>
      </w:r>
    </w:p>
    <w:p>
      <w:r>
        <w:rPr>
          <w:rFonts w:ascii="Courier New" w:hAnsi="Courier New"/>
          <w:sz w:val="17"/>
        </w:rPr>
        <w:t xml:space="preserve">gering    20    20    30</w:t>
      </w:r>
    </w:p>
    <w:p>
      <w:r>
        <w:rPr>
          <w:rFonts w:ascii="Courier New" w:hAnsi="Courier New"/>
          <w:sz w:val="17"/>
        </w:rPr>
        <w:t xml:space="preserve">mäßig    30    40    40</w:t>
      </w:r>
    </w:p>
    <w:p>
      <w:r>
        <w:rPr>
          <w:rFonts w:ascii="Courier New" w:hAnsi="Courier New"/>
          <w:sz w:val="17"/>
        </w:rPr>
        <w:t xml:space="preserve">stark    50    60    70</w:t>
      </w:r>
    </w:p>
    <w:p>
      <w:r>
        <w:rPr>
          <w:rFonts w:ascii="Courier New" w:hAnsi="Courier New"/>
          <w:sz w:val="17"/>
        </w:rPr>
        <w:t xml:space="preserve">Anmerkung:</w:t>
      </w:r>
    </w:p>
    <w:p>
      <w:r>
        <w:rPr>
          <w:rFonts w:ascii="Courier New" w:hAnsi="Courier New"/>
          <w:sz w:val="17"/>
        </w:rPr>
        <w:t xml:space="preserve">Die Auswertung des histologischen Befundes soll sich an dem modifizierten histologischen Aktivitätsindex (HAI) ausrichten. Eine geringe nekro-inflammatorische Aktivität entspricht einer Punktzahl von 1 bis 5, eine mäßige nekro-inflammatorische Aktivität einer Punktzahl von 6 bis 10 und eine starke nekro-inflammatorische Aktivität einer Punktzahl von 11 bis 18. Eine fehlende bzw. geringe Fibrose entspricht einer Punktzahl 0 bis 2, eine mäßige Fibrose der Punktzahl 3 und eine starke Fibrose einer Punktzahl von 4 bis 5.</w:t>
      </w:r>
    </w:p>
    <w:p>
      <w:r>
        <w:rPr>
          <w:rFonts w:ascii="Courier New" w:hAnsi="Courier New"/>
          <w:sz w:val="17"/>
        </w:rPr>
        <w:t xml:space="preserve">Für die Virushepatitis C gelten bei fehlender Histologie im Hinblick auf die chemischen Laborparameter folgende Besonderheiten:</w:t>
      </w:r>
    </w:p>
    <w:p>
      <w:r>
        <w:rPr>
          <w:rFonts w:ascii="Courier New" w:hAnsi="Courier New"/>
          <w:sz w:val="17"/>
        </w:rPr>
        <w:t xml:space="preserve">    ALAT-/GPT-Werte im Referenzbereich entsprechen bei nachgewiesener Hepatitis-C-Virus-Replikation einer chronischen Hepatitis ohne (klinisch-) entzündliche Aktivität.</w:t>
      </w:r>
    </w:p>
    <w:p>
      <w:r>
        <w:rPr>
          <w:rFonts w:ascii="Courier New" w:hAnsi="Courier New"/>
          <w:sz w:val="17"/>
        </w:rPr>
        <w:t xml:space="preserve">    ALAT-/GPT-Werte bis zum 3-fachen der oberen Grenze des Referenzbereichs entsprechen einer geringen (klinisch-) entzündlichen Aktivität</w:t>
      </w:r>
    </w:p>
    <w:p>
      <w:r>
        <w:rPr>
          <w:rFonts w:ascii="Courier New" w:hAnsi="Courier New"/>
          <w:sz w:val="17"/>
        </w:rPr>
        <w:t xml:space="preserve">    ALAT-/GPT-Werte vom 3-fachen bis zum 6-fachen der oberen Grenze des Referenzbereichs entsprechen einer mäßigen (klinisch-) entzündlichen Aktivität</w:t>
      </w:r>
    </w:p>
    <w:p>
      <w:r>
        <w:rPr>
          <w:rFonts w:ascii="Courier New" w:hAnsi="Courier New"/>
          <w:sz w:val="17"/>
        </w:rPr>
        <w:t xml:space="preserve">    ALAT-/GPT-Werte von mehr als dem 6-fachen der oberen Grenze des Referenzbereichs entsprechen einer starken (klinisch-) entzündlichen Aktivität</w:t>
      </w:r>
    </w:p>
    <w:p>
      <w:r>
        <w:rPr>
          <w:rFonts w:ascii="Courier New" w:hAnsi="Courier New"/>
          <w:sz w:val="17"/>
        </w:rPr>
        <w:t xml:space="preserve">Diese Bewertungen sind nur zulässig, wenn sie sich in das klinische Gesamtbild des bisherigen Verlaufs einfügen.</w:t>
      </w:r>
    </w:p>
    <w:p>
      <w:r>
        <w:rPr>
          <w:rFonts w:ascii="Courier New" w:hAnsi="Courier New"/>
          <w:sz w:val="17"/>
        </w:rPr>
        <w:t xml:space="preserve">10.3.2 Fibrose der Leber ohne Komplikationen    0-10</w:t>
      </w:r>
    </w:p>
    <w:p>
      <w:r>
        <w:rPr>
          <w:rFonts w:ascii="Courier New" w:hAnsi="Courier New"/>
          <w:sz w:val="17"/>
        </w:rPr>
        <w:t xml:space="preserve">Leberzirrhose    </w:t>
      </w:r>
    </w:p>
    <w:p>
      <w:r>
        <w:rPr>
          <w:rFonts w:ascii="Courier New" w:hAnsi="Courier New"/>
          <w:sz w:val="17"/>
        </w:rPr>
        <w:t xml:space="preserve">    kompensiert    </w:t>
      </w:r>
    </w:p>
    <w:p>
      <w:r>
        <w:rPr>
          <w:rFonts w:ascii="Courier New" w:hAnsi="Courier New"/>
          <w:sz w:val="17"/>
        </w:rPr>
        <w:t xml:space="preserve">        inaktiv    30</w:t>
      </w:r>
    </w:p>
    <w:p>
      <w:r>
        <w:rPr>
          <w:rFonts w:ascii="Courier New" w:hAnsi="Courier New"/>
          <w:sz w:val="17"/>
        </w:rPr>
        <w:t xml:space="preserve">        gering aktiv    40</w:t>
      </w:r>
    </w:p>
    <w:p>
      <w:r>
        <w:rPr>
          <w:rFonts w:ascii="Courier New" w:hAnsi="Courier New"/>
          <w:sz w:val="17"/>
        </w:rPr>
        <w:t xml:space="preserve">        stärker aktiv    50</w:t>
      </w:r>
    </w:p>
    <w:p>
      <w:r>
        <w:rPr>
          <w:rFonts w:ascii="Courier New" w:hAnsi="Courier New"/>
          <w:sz w:val="17"/>
        </w:rPr>
        <w:t xml:space="preserve">    dekompensiert (Aszites, portale Stauung, hepatische Enzephalopathie)    60-100</w:t>
      </w:r>
    </w:p>
    <w:p>
      <w:r>
        <w:rPr>
          <w:rFonts w:ascii="Courier New" w:hAnsi="Courier New"/>
          <w:sz w:val="17"/>
        </w:rPr>
        <w:t xml:space="preserve">10.3.3 Fettleber (auch nutritiv-toxisch) ohne Mesenchymreaktion    0-10</w:t>
      </w:r>
    </w:p>
    <w:p>
      <w:r>
        <w:rPr>
          <w:rFonts w:ascii="Courier New" w:hAnsi="Courier New"/>
          <w:sz w:val="17"/>
        </w:rPr>
        <w:t xml:space="preserve">Toxischer Leberschaden    </w:t>
      </w:r>
    </w:p>
    <w:p>
      <w:r>
        <w:rPr>
          <w:rFonts w:ascii="Courier New" w:hAnsi="Courier New"/>
          <w:sz w:val="17"/>
        </w:rPr>
        <w:t xml:space="preserve">    Der GdS ist je nach Aktivität und Verlauf analog zur chronischen Hepatitis oder Leberzirrhose zu beurteilen.</w:t>
      </w:r>
    </w:p>
    <w:p>
      <w:r>
        <w:rPr>
          <w:rFonts w:ascii="Courier New" w:hAnsi="Courier New"/>
          <w:sz w:val="17"/>
        </w:rPr>
        <w:t xml:space="preserve">Zirkulatorische Störungen der Leber (z. B. Pfortaderthrombose)    </w:t>
      </w:r>
    </w:p>
    <w:p>
      <w:r>
        <w:rPr>
          <w:rFonts w:ascii="Courier New" w:hAnsi="Courier New"/>
          <w:sz w:val="17"/>
        </w:rPr>
        <w:t xml:space="preserve">    Der GdS ist analog zur dekompensierten Leberzirrhose zu beurteilen.</w:t>
      </w:r>
    </w:p>
    <w:p>
      <w:r>
        <w:rPr>
          <w:rFonts w:ascii="Courier New" w:hAnsi="Courier New"/>
          <w:sz w:val="17"/>
        </w:rPr>
        <w:t xml:space="preserve">Nach Leberteilresektion ist der GdS allein davon abhängig, ob und wieweit Funktionsbeeinträchtigungen verblieben sind.</w:t>
      </w:r>
    </w:p>
    <w:p>
      <w:r>
        <w:rPr>
          <w:rFonts w:ascii="Courier New" w:hAnsi="Courier New"/>
          <w:sz w:val="17"/>
        </w:rPr>
        <w:t xml:space="preserve">10.3.4 Nach Entfernung eines malignen primären Lebertumors ist in den ersten fünf Jahren eine Heilungsbewährung abzuwarten; GdS während dieser Zeit 100</w:t>
      </w:r>
    </w:p>
    <w:p>
      <w:r>
        <w:rPr>
          <w:rFonts w:ascii="Courier New" w:hAnsi="Courier New"/>
          <w:sz w:val="17"/>
        </w:rPr>
        <w:t xml:space="preserve">Nach Lebertransplantation ist eine Heilungsbewährung abzuwarten (im Allgemeinen zwei Jahre); GdS während dieser Zeit 100. Danach selbst bei günstigem Heilungsverlauf unter Berücksichtigung der erforderlichen Immunsuppression wenigstens 60</w:t>
      </w:r>
    </w:p>
    <w:p>
      <w:r>
        <w:rPr>
          <w:rFonts w:ascii="Courier New" w:hAnsi="Courier New"/>
          <w:sz w:val="17"/>
        </w:rPr>
        <w:t xml:space="preserve">10.3.5 Primäre biliäre Zirrhose, primäre sklerosierende Cholangitis</w:t>
      </w:r>
    </w:p>
    <w:p>
      <w:r>
        <w:rPr>
          <w:rFonts w:ascii="Courier New" w:hAnsi="Courier New"/>
          <w:sz w:val="17"/>
        </w:rPr>
        <w:t xml:space="preserve">    GdS ist je nach Aktivität und Verlauf analog zur chronischen    </w:t>
      </w:r>
    </w:p>
    <w:p>
      <w:r>
        <w:rPr>
          <w:rFonts w:ascii="Courier New" w:hAnsi="Courier New"/>
          <w:sz w:val="17"/>
        </w:rPr>
        <w:t xml:space="preserve">    Hepatitis oder Leberzirrhose zu beurteilen.    </w:t>
      </w:r>
    </w:p>
    <w:p>
      <w:r>
        <w:rPr>
          <w:rFonts w:ascii="Courier New" w:hAnsi="Courier New"/>
          <w:sz w:val="17"/>
        </w:rPr>
        <w:t xml:space="preserve">Gallenblasen- und Gallenwegskrankheiten (Steinleiden, chronisch rezidivierende Entzündungen)    </w:t>
      </w:r>
    </w:p>
    <w:p>
      <w:r>
        <w:rPr>
          <w:rFonts w:ascii="Courier New" w:hAnsi="Courier New"/>
          <w:sz w:val="17"/>
        </w:rPr>
        <w:t xml:space="preserve">    mit Koliken in Abständen von mehreren Monaten, Entzündungen in Abständen von Jahren    0-10</w:t>
      </w:r>
    </w:p>
    <w:p>
      <w:r>
        <w:rPr>
          <w:rFonts w:ascii="Courier New" w:hAnsi="Courier New"/>
          <w:sz w:val="17"/>
        </w:rPr>
        <w:t xml:space="preserve">    mit häufigeren Koliken und Entzündungen sowie mit Intervallbeschwerden    20-30</w:t>
      </w:r>
    </w:p>
    <w:p>
      <w:r>
        <w:rPr>
          <w:rFonts w:ascii="Courier New" w:hAnsi="Courier New"/>
          <w:sz w:val="17"/>
        </w:rPr>
        <w:t xml:space="preserve">    mit langanhaltenden Entzündungen oder mit Komplikationen    40-50</w:t>
      </w:r>
    </w:p>
    <w:p>
      <w:r>
        <w:rPr>
          <w:rFonts w:ascii="Courier New" w:hAnsi="Courier New"/>
          <w:sz w:val="17"/>
        </w:rPr>
        <w:t xml:space="preserve">Angeborene intra- und extrahepatische Transportstörungen der Galle (z. B. intra-, extrahepatische Gallengangsatresie), metabolische Defekte (z. B. Meulengracht-Krankheit)    </w:t>
      </w:r>
    </w:p>
    <w:p>
      <w:r>
        <w:rPr>
          <w:rFonts w:ascii="Courier New" w:hAnsi="Courier New"/>
          <w:sz w:val="17"/>
        </w:rPr>
        <w:t xml:space="preserve">    ohne Funktionsstörungen, ohne Beschwerden    0-10</w:t>
      </w:r>
    </w:p>
    <w:p>
      <w:r>
        <w:rPr>
          <w:rFonts w:ascii="Courier New" w:hAnsi="Courier New"/>
          <w:sz w:val="17"/>
        </w:rPr>
        <w:t xml:space="preserve">    mit Beschwerden (Koliken, Fettunverträglichkeit, Juckreiz),    </w:t>
      </w:r>
    </w:p>
    <w:p>
      <w:r>
        <w:rPr>
          <w:rFonts w:ascii="Courier New" w:hAnsi="Courier New"/>
          <w:sz w:val="17"/>
        </w:rPr>
        <w:t xml:space="preserve">        ohne Leberzirrhose    20-40</w:t>
      </w:r>
    </w:p>
    <w:p>
      <w:r>
        <w:rPr>
          <w:rFonts w:ascii="Courier New" w:hAnsi="Courier New"/>
          <w:sz w:val="17"/>
        </w:rPr>
        <w:t xml:space="preserve">        mit Leberzirrhose    50</w:t>
      </w:r>
    </w:p>
    <w:p>
      <w:r>
        <w:rPr>
          <w:rFonts w:ascii="Courier New" w:hAnsi="Courier New"/>
          <w:sz w:val="17"/>
        </w:rPr>
        <w:t xml:space="preserve">        mit dekompensierter Leberzirrhose    60-100</w:t>
      </w:r>
    </w:p>
    <w:p>
      <w:r>
        <w:rPr>
          <w:rFonts w:ascii="Courier New" w:hAnsi="Courier New"/>
          <w:sz w:val="17"/>
        </w:rPr>
        <w:t xml:space="preserve">    Folgezustände sind zusätzlich zu bewerten.    </w:t>
      </w:r>
    </w:p>
    <w:p>
      <w:r>
        <w:rPr>
          <w:rFonts w:ascii="Courier New" w:hAnsi="Courier New"/>
          <w:sz w:val="17"/>
        </w:rPr>
        <w:t xml:space="preserve">Verlust der Gallenblase ohne wesentliche Störungen    0</w:t>
      </w:r>
    </w:p>
    <w:p>
      <w:r>
        <w:rPr>
          <w:rFonts w:ascii="Courier New" w:hAnsi="Courier New"/>
          <w:sz w:val="17"/>
        </w:rPr>
        <w:t xml:space="preserve">bei fortbestehenden Beschwerden wie bei Gallenwegskrankheiten    </w:t>
      </w:r>
    </w:p>
    <w:p>
      <w:r>
        <w:rPr>
          <w:rFonts w:ascii="Courier New" w:hAnsi="Courier New"/>
          <w:sz w:val="17"/>
        </w:rPr>
        <w:t xml:space="preserve">Nach Entfernung eines malignen Gallenblasen-, Gallenwegs- oder Papillentumors ist in den ersten fünf Jahren eine Heilungsbewährung abzuwarten; GdS während dieser Zeit    </w:t>
      </w:r>
    </w:p>
    <w:p>
      <w:r>
        <w:rPr>
          <w:rFonts w:ascii="Courier New" w:hAnsi="Courier New"/>
          <w:sz w:val="17"/>
        </w:rPr>
        <w:t xml:space="preserve">    bei Gallenblasen- und Gallenwegstumor    100</w:t>
      </w:r>
    </w:p>
    <w:p>
      <w:r>
        <w:rPr>
          <w:rFonts w:ascii="Courier New" w:hAnsi="Courier New"/>
          <w:sz w:val="17"/>
        </w:rPr>
        <w:t xml:space="preserve">    bei Papillentumor    80</w:t>
      </w:r>
    </w:p>
    <w:p>
      <w:r>
        <w:rPr>
          <w:rFonts w:ascii="Courier New" w:hAnsi="Courier New"/>
          <w:sz w:val="17"/>
        </w:rPr>
        <w:t xml:space="preserve">10.3.6 Chronische Krankheit der Bauchspeicheldrüse (exkretorische Funktion) je nach Auswirkung auf den Allgemeinzustand, Häufigkeit und Ausmaß der Schmerzen    </w:t>
      </w:r>
    </w:p>
    <w:p>
      <w:r>
        <w:rPr>
          <w:rFonts w:ascii="Courier New" w:hAnsi="Courier New"/>
          <w:sz w:val="17"/>
        </w:rPr>
        <w:t xml:space="preserve">    ohne wesentlichen Beschwerden, keine Beeinträchtigung des Kräfte- und Ernährungszustandes    0-10</w:t>
      </w:r>
    </w:p>
    <w:p>
      <w:r>
        <w:rPr>
          <w:rFonts w:ascii="Courier New" w:hAnsi="Courier New"/>
          <w:sz w:val="17"/>
        </w:rPr>
        <w:t xml:space="preserve">    geringe bis erhebliche Beschwerden, geringe bis mäßige Beeinträchtigung des Kräfte- und Ernährungszustandes    20-40</w:t>
      </w:r>
    </w:p>
    <w:p>
      <w:r>
        <w:rPr>
          <w:rFonts w:ascii="Courier New" w:hAnsi="Courier New"/>
          <w:sz w:val="17"/>
        </w:rPr>
        <w:t xml:space="preserve">    starke Beschwerden, Fettstühle, deutliche bis ausgeprägte Herabsetzung des Kräfte- und Ernährungszustandes    50-80</w:t>
      </w:r>
    </w:p>
    <w:p>
      <w:r>
        <w:rPr>
          <w:rFonts w:ascii="Courier New" w:hAnsi="Courier New"/>
          <w:sz w:val="17"/>
        </w:rPr>
        <w:t xml:space="preserve">Nach teilweiser oder vollständiger Entfernung der Bauchspeicheldrüse sind ggf. weitere Funktionsbeeinträchtigungen (z. B. bei Diabetes mellitus, Osteopathie, oder infolge chronischer Entzündungen der Gallenwege, Magenteilentfernung und Milzverlust) zusätzlich zu berücksichtigen.    </w:t>
      </w:r>
    </w:p>
    <w:p>
      <w:r>
        <w:rPr>
          <w:rFonts w:ascii="Courier New" w:hAnsi="Courier New"/>
          <w:sz w:val="17"/>
        </w:rPr>
        <w:t xml:space="preserve">Nach Entfernung eines malignen Bauchspeicheldrüsentumors ist in den ersten fünf Jahren eine Heilungsbewährung abzuwarten; GdS während dieser Zeit 100.    </w:t>
      </w:r>
    </w:p>
    <w:p>
      <w:pPr>
        <w:ind w:left="420"/>
      </w:pPr>
      <w:r>
        <w:t xml:space="preserve">11. Brüche (Hernien)</w:t>
      </w:r>
    </w:p>
    <w:p>
      <w:r>
        <w:rPr>
          <w:rFonts w:ascii="Courier New" w:hAnsi="Courier New"/>
          <w:sz w:val="17"/>
        </w:rPr>
        <w:t xml:space="preserve">11.1    Leisten- oder Schenkelbruch je nach Größe und Reponierbarkeit    </w:t>
      </w:r>
    </w:p>
    <w:p>
      <w:r>
        <w:rPr>
          <w:rFonts w:ascii="Courier New" w:hAnsi="Courier New"/>
          <w:sz w:val="17"/>
        </w:rPr>
        <w:t xml:space="preserve">    ein- oder beidseitig    0-10</w:t>
      </w:r>
    </w:p>
    <w:p>
      <w:r>
        <w:rPr>
          <w:rFonts w:ascii="Courier New" w:hAnsi="Courier New"/>
          <w:sz w:val="17"/>
        </w:rPr>
        <w:t xml:space="preserve">    bei erheblicher Einschränkung der Belastungsfähigkeit    20</w:t>
      </w:r>
    </w:p>
    <w:p>
      <w:r>
        <w:rPr>
          <w:rFonts w:ascii="Courier New" w:hAnsi="Courier New"/>
          <w:sz w:val="17"/>
        </w:rPr>
        <w:t xml:space="preserve">11.2    Nabelbruch oder Bruch in der weißen Linie    0-10</w:t>
      </w:r>
    </w:p>
    <w:p>
      <w:r>
        <w:rPr>
          <w:rFonts w:ascii="Courier New" w:hAnsi="Courier New"/>
          <w:sz w:val="17"/>
        </w:rPr>
        <w:t xml:space="preserve">Bauchnarbenbruch, angeborene Bauchwandbrüche und -defekte    </w:t>
      </w:r>
    </w:p>
    <w:p>
      <w:r>
        <w:rPr>
          <w:rFonts w:ascii="Courier New" w:hAnsi="Courier New"/>
          <w:sz w:val="17"/>
        </w:rPr>
        <w:t xml:space="preserve">    ohne wesentliche Beeinträchtigung, je nach Größe    0-10</w:t>
      </w:r>
    </w:p>
    <w:p>
      <w:r>
        <w:rPr>
          <w:rFonts w:ascii="Courier New" w:hAnsi="Courier New"/>
          <w:sz w:val="17"/>
        </w:rPr>
        <w:t xml:space="preserve">    mit ausgedehnter Bauchwandschwäche und fehlender oder stark eingeschränkter Bauchpresse    20</w:t>
      </w:r>
    </w:p>
    <w:p>
      <w:r>
        <w:rPr>
          <w:rFonts w:ascii="Courier New" w:hAnsi="Courier New"/>
          <w:sz w:val="17"/>
        </w:rPr>
        <w:t xml:space="preserve">    mit Beeinträchtigung der Bauchorgane bei Passagestörungen ohne erhebliche Komplikationen    20-30</w:t>
      </w:r>
    </w:p>
    <w:p>
      <w:r>
        <w:rPr>
          <w:rFonts w:ascii="Courier New" w:hAnsi="Courier New"/>
          <w:sz w:val="17"/>
        </w:rPr>
        <w:t xml:space="preserve">    bei häufigen rezidivierenden Ileuserscheinungen    40-50</w:t>
      </w:r>
    </w:p>
    <w:p>
      <w:r>
        <w:rPr>
          <w:rFonts w:ascii="Courier New" w:hAnsi="Courier New"/>
          <w:sz w:val="17"/>
        </w:rPr>
        <w:t xml:space="preserve">    Bei schweren angeborenen Bauchwanddefekten mit entspechender Beeinträchtigung der Bauch- und Brustorgane kommt auch ein höherer GdS in Betracht.    </w:t>
      </w:r>
    </w:p>
    <w:p>
      <w:r>
        <w:rPr>
          <w:rFonts w:ascii="Courier New" w:hAnsi="Courier New"/>
          <w:sz w:val="17"/>
        </w:rPr>
        <w:t xml:space="preserve">11.3    Zwerchfellbrüche (einschl. Zwerchfellrelaxation)    </w:t>
      </w:r>
    </w:p>
    <w:p>
      <w:r>
        <w:rPr>
          <w:rFonts w:ascii="Courier New" w:hAnsi="Courier New"/>
          <w:sz w:val="17"/>
        </w:rPr>
        <w:t xml:space="preserve">    Speiseröhrengleithernie    0-10</w:t>
      </w:r>
    </w:p>
    <w:p>
      <w:r>
        <w:rPr>
          <w:rFonts w:ascii="Courier New" w:hAnsi="Courier New"/>
          <w:sz w:val="17"/>
        </w:rPr>
        <w:t xml:space="preserve">    andere kleine Zwerchfellbrüche ohne wesentliche Funktionsstörung    0-10</w:t>
      </w:r>
    </w:p>
    <w:p>
      <w:r>
        <w:rPr>
          <w:rFonts w:ascii="Courier New" w:hAnsi="Courier New"/>
          <w:sz w:val="17"/>
        </w:rPr>
        <w:t xml:space="preserve">    größere Zwerchfellbrüche je nach Funktionsstörung    20-30</w:t>
      </w:r>
    </w:p>
    <w:p>
      <w:r>
        <w:rPr>
          <w:rFonts w:ascii="Courier New" w:hAnsi="Courier New"/>
          <w:sz w:val="17"/>
        </w:rPr>
        <w:t xml:space="preserve">    Komplikationen sind zusätzlich zu bewerten.</w:t>
      </w:r>
    </w:p>
    <w:p>
      <w:r>
        <w:rPr>
          <w:rFonts w:ascii="Courier New" w:hAnsi="Courier New"/>
          <w:sz w:val="17"/>
        </w:rPr>
        <w:t xml:space="preserve">Angeborene Zwerchfelldefekte mit Verlagerung von inneren Organen in den Brustkorb und Minderentwicklung von Lungengewebe    </w:t>
      </w:r>
    </w:p>
    <w:p>
      <w:r>
        <w:rPr>
          <w:rFonts w:ascii="Courier New" w:hAnsi="Courier New"/>
          <w:sz w:val="17"/>
        </w:rPr>
        <w:t xml:space="preserve">    mit geringer Einschränkung der Lungenfunktion    40</w:t>
      </w:r>
    </w:p>
    <w:p>
      <w:r>
        <w:rPr>
          <w:rFonts w:ascii="Courier New" w:hAnsi="Courier New"/>
          <w:sz w:val="17"/>
        </w:rPr>
        <w:t xml:space="preserve">    sonst je nach Funktionsbeeinträchtigung der betroffenen Organe    50-100</w:t>
      </w:r>
    </w:p>
    <w:p>
      <w:pPr>
        <w:ind w:left="420"/>
      </w:pPr>
      <w:r>
        <w:t xml:space="preserve">12. Harnorgane</w:t>
      </w:r>
    </w:p>
    <w:p>
      <w:r>
        <w:rPr>
          <w:rFonts w:ascii="Courier New" w:hAnsi="Courier New"/>
          <w:sz w:val="17"/>
        </w:rPr>
        <w:t xml:space="preserve">Die Beurteilung des GdS bei Schäden der Harnorgane richtet sich nach dem Ausmaß der Störungen der inkretorischen und exkretorischen Nierenfunktion und/oder des Harntransportes, das durch spezielle Untersuchungen zu erfassen ist.</w:t>
      </w:r>
    </w:p>
    <w:p>
      <w:r>
        <w:rPr>
          <w:rFonts w:ascii="Courier New" w:hAnsi="Courier New"/>
          <w:sz w:val="17"/>
        </w:rPr>
        <w:t xml:space="preserve">Daneben sind die Beteiligung anderer Organe (z. B. Herz/Kreislauf, Zentralnervensystem, Skelettsystem), die Aktivität eines Entzündungsprozesses, die Auswirkungen auf den Allgemeinzustand und die notwendige Beschränkung in der Lebensführung zu berücksichtigen.</w:t>
      </w:r>
    </w:p>
    <w:p>
      <w:r>
        <w:rPr>
          <w:rFonts w:ascii="Courier New" w:hAnsi="Courier New"/>
          <w:sz w:val="17"/>
        </w:rPr>
        <w:t xml:space="preserve">Unter dem im Folgenden verwendeten Begriff „Funktionseinschränkung der Nieren" ist die Retention harnpflichtiger Substanzen zu verstehen.</w:t>
      </w:r>
    </w:p>
    <w:p>
      <w:r>
        <w:rPr>
          <w:rFonts w:ascii="Courier New" w:hAnsi="Courier New"/>
          <w:sz w:val="17"/>
        </w:rPr>
        <w:t xml:space="preserve">12.1 Nierenschäden    </w:t>
      </w:r>
    </w:p>
    <w:p>
      <w:r>
        <w:rPr>
          <w:rFonts w:ascii="Courier New" w:hAnsi="Courier New"/>
          <w:sz w:val="17"/>
        </w:rPr>
        <w:t xml:space="preserve">12.1.1 Verlust, Ausfall oder Fehlen einer Niere bei Gesundheit der    </w:t>
      </w:r>
    </w:p>
    <w:p>
      <w:r>
        <w:rPr>
          <w:rFonts w:ascii="Courier New" w:hAnsi="Courier New"/>
          <w:sz w:val="17"/>
        </w:rPr>
        <w:t xml:space="preserve">anderen Niere    25</w:t>
      </w:r>
    </w:p>
    <w:p>
      <w:r>
        <w:rPr>
          <w:rFonts w:ascii="Courier New" w:hAnsi="Courier New"/>
          <w:sz w:val="17"/>
        </w:rPr>
        <w:t xml:space="preserve">Verlust, Ausfall oder Fehlen einer Niere bei Schaden der anderen Niere, ohne Einschränkung der Nierenfunktion, mit krankhaftem Harnbefund    30</w:t>
      </w:r>
    </w:p>
    <w:p>
      <w:r>
        <w:rPr>
          <w:rFonts w:ascii="Courier New" w:hAnsi="Courier New"/>
          <w:sz w:val="17"/>
        </w:rPr>
        <w:t xml:space="preserve">Nierenfehlbildung (z. B. Erweiterung des Nierenhohlsystems bei Ureterabgangsstenose, Nierenhypoplasie, Zystennieren, Nierenzysten, Beckenniere), Nephroptose    </w:t>
      </w:r>
    </w:p>
    <w:p>
      <w:r>
        <w:rPr>
          <w:rFonts w:ascii="Courier New" w:hAnsi="Courier New"/>
          <w:sz w:val="17"/>
        </w:rPr>
        <w:t xml:space="preserve">    ohne wesentliche Beschwerden und ohne Funktionseinschränkung    0-10</w:t>
      </w:r>
    </w:p>
    <w:p>
      <w:r>
        <w:rPr>
          <w:rFonts w:ascii="Courier New" w:hAnsi="Courier New"/>
          <w:sz w:val="17"/>
        </w:rPr>
        <w:t xml:space="preserve">    mit wesentlichen Beschwerden und ohne Funktionseinschränkung    20-30</w:t>
      </w:r>
    </w:p>
    <w:p>
      <w:r>
        <w:rPr>
          <w:rFonts w:ascii="Courier New" w:hAnsi="Courier New"/>
          <w:sz w:val="17"/>
        </w:rPr>
        <w:t xml:space="preserve">Nierensteinleiden ohne Funktionseinschränkung der Niere    </w:t>
      </w:r>
    </w:p>
    <w:p>
      <w:r>
        <w:rPr>
          <w:rFonts w:ascii="Courier New" w:hAnsi="Courier New"/>
          <w:sz w:val="17"/>
        </w:rPr>
        <w:t xml:space="preserve">    mit Koliken in Abständen von mehreren Monaten    0-10</w:t>
      </w:r>
    </w:p>
    <w:p>
      <w:r>
        <w:rPr>
          <w:rFonts w:ascii="Courier New" w:hAnsi="Courier New"/>
          <w:sz w:val="17"/>
        </w:rPr>
        <w:t xml:space="preserve">    mit häufigeren Koliken, Intervallbeschwerden und wiederholten Harnwegsinfekten    20-30</w:t>
      </w:r>
    </w:p>
    <w:p>
      <w:r>
        <w:rPr>
          <w:rFonts w:ascii="Courier New" w:hAnsi="Courier New"/>
          <w:sz w:val="17"/>
        </w:rPr>
        <w:t xml:space="preserve">Nierenschäden ohne Einschränkung der Nierenfunktion (z. B. Glomerulopathien, tubulointerstitielle Nephropathien, vaskuläre Nephropathien), ohne Beschwerden, mit krankhaftem Harnbefund (Eiweiß und/oder Erythrozyten- bzw. Leukozytenausscheidung)    0-10</w:t>
      </w:r>
    </w:p>
    <w:p>
      <w:r>
        <w:rPr>
          <w:rFonts w:ascii="Courier New" w:hAnsi="Courier New"/>
          <w:sz w:val="17"/>
        </w:rPr>
        <w:t xml:space="preserve">12.1.2 Nierenschäden ohne Einschränkung der Nierenfunktion, mit Beschwerden rezidivierende Makrohämaturie, je nach Häufigkeit    10-30</w:t>
      </w:r>
    </w:p>
    <w:p>
      <w:r>
        <w:rPr>
          <w:rFonts w:ascii="Courier New" w:hAnsi="Courier New"/>
          <w:sz w:val="17"/>
        </w:rPr>
        <w:t xml:space="preserve">Nephrotisches Syndrom    </w:t>
      </w:r>
    </w:p>
    <w:p>
      <w:r>
        <w:rPr>
          <w:rFonts w:ascii="Courier New" w:hAnsi="Courier New"/>
          <w:sz w:val="17"/>
        </w:rPr>
        <w:t xml:space="preserve">    kompensiert (keine Ödeme)    20-30</w:t>
      </w:r>
    </w:p>
    <w:p>
      <w:r>
        <w:rPr>
          <w:rFonts w:ascii="Courier New" w:hAnsi="Courier New"/>
          <w:sz w:val="17"/>
        </w:rPr>
        <w:t xml:space="preserve">    dekompensiert (mit Ödemen)    40-50</w:t>
      </w:r>
    </w:p>
    <w:p>
      <w:r>
        <w:rPr>
          <w:rFonts w:ascii="Courier New" w:hAnsi="Courier New"/>
          <w:sz w:val="17"/>
        </w:rPr>
        <w:t xml:space="preserve">    bei Systemerkrankungen mit Notwendigkeit einer immunsuppressiven Behandlung    50</w:t>
      </w:r>
    </w:p>
    <w:p>
      <w:r>
        <w:rPr>
          <w:rFonts w:ascii="Courier New" w:hAnsi="Courier New"/>
          <w:sz w:val="17"/>
        </w:rPr>
        <w:t xml:space="preserve">12.1.3 Nierenschäden mit Einschränkung der Nierenfunktion    </w:t>
      </w:r>
    </w:p>
    <w:p>
      <w:r>
        <w:rPr>
          <w:rFonts w:ascii="Courier New" w:hAnsi="Courier New"/>
          <w:sz w:val="17"/>
        </w:rPr>
        <w:t xml:space="preserve">Eine geringfügige Einschränkung der Kreatininclearance auf 50-80 ml/min bei im Normbereich liegenden Serumkreatininwerten bedingt keinen messbaren GdS.</w:t>
      </w:r>
    </w:p>
    <w:p>
      <w:r>
        <w:rPr>
          <w:rFonts w:ascii="Courier New" w:hAnsi="Courier New"/>
          <w:sz w:val="17"/>
        </w:rPr>
        <w:t xml:space="preserve">Nierenfunktionseinschränkung    </w:t>
      </w:r>
    </w:p>
    <w:p>
      <w:r>
        <w:rPr>
          <w:rFonts w:ascii="Courier New" w:hAnsi="Courier New"/>
          <w:sz w:val="17"/>
        </w:rPr>
        <w:t xml:space="preserve">    leichten Grades    </w:t>
      </w:r>
    </w:p>
    <w:p>
      <w:r>
        <w:rPr>
          <w:rFonts w:ascii="Courier New" w:hAnsi="Courier New"/>
          <w:sz w:val="17"/>
        </w:rPr>
        <w:t xml:space="preserve">    (Serumkreatininwerte unter 2 mg/dl [Kreatininclearance ca. 35-50 ml/min], Allgemeinbefinden nicht oder nicht wesentlich reduziert, keine Einschränkung der Leistungsfähigkeit)    20-30</w:t>
      </w:r>
    </w:p>
    <w:p>
      <w:r>
        <w:rPr>
          <w:rFonts w:ascii="Courier New" w:hAnsi="Courier New"/>
          <w:sz w:val="17"/>
        </w:rPr>
        <w:t xml:space="preserve">    (Serumkreatininwerte andauernd zwischen 2 und 4 mg/dl erhöht, Allgemeinbefinden wenig reduziert, leichte Einschränkung der Leistungsfähigkeit)    40</w:t>
      </w:r>
    </w:p>
    <w:p>
      <w:r>
        <w:rPr>
          <w:rFonts w:ascii="Courier New" w:hAnsi="Courier New"/>
          <w:sz w:val="17"/>
        </w:rPr>
        <w:t xml:space="preserve">    mittleren Grades    </w:t>
      </w:r>
    </w:p>
    <w:p>
      <w:r>
        <w:rPr>
          <w:rFonts w:ascii="Courier New" w:hAnsi="Courier New"/>
          <w:sz w:val="17"/>
        </w:rPr>
        <w:t xml:space="preserve">    (Serumkreatininwerte andauernd zwischen 4 und 8 mg/dl erhöht, Allgemeinbefinden stärker beeinträchtigt, mäßige Einschränkung der Leistungsfähigkeit)    50-70</w:t>
      </w:r>
    </w:p>
    <w:p>
      <w:r>
        <w:rPr>
          <w:rFonts w:ascii="Courier New" w:hAnsi="Courier New"/>
          <w:sz w:val="17"/>
        </w:rPr>
        <w:t xml:space="preserve">    schweren Grades    </w:t>
      </w:r>
    </w:p>
    <w:p>
      <w:r>
        <w:rPr>
          <w:rFonts w:ascii="Courier New" w:hAnsi="Courier New"/>
          <w:sz w:val="17"/>
        </w:rPr>
        <w:t xml:space="preserve">    (Serumkreatininwerte dauernd über 8 mg/dl, Allgemeinbefinden stark gestört, starke Einschränkung der Leistungsfähigkeit, bei Kindern keine normalen Schulleistungen mehr)    80-100</w:t>
      </w:r>
    </w:p>
    <w:p>
      <w:r>
        <w:rPr>
          <w:rFonts w:ascii="Courier New" w:hAnsi="Courier New"/>
          <w:sz w:val="17"/>
        </w:rPr>
        <w:t xml:space="preserve">Verlust, Ausfall oder Fehlen einer Niere mit Funktionseinschränkung der anderen Niere</w:t>
      </w:r>
    </w:p>
    <w:p>
      <w:r>
        <w:rPr>
          <w:rFonts w:ascii="Courier New" w:hAnsi="Courier New"/>
          <w:sz w:val="17"/>
        </w:rPr>
        <w:t xml:space="preserve">    leichten Grades    40-50</w:t>
      </w:r>
    </w:p>
    <w:p>
      <w:r>
        <w:rPr>
          <w:rFonts w:ascii="Courier New" w:hAnsi="Courier New"/>
          <w:sz w:val="17"/>
        </w:rPr>
        <w:t xml:space="preserve">    mittleren Grades    60-80</w:t>
      </w:r>
    </w:p>
    <w:p>
      <w:r>
        <w:rPr>
          <w:rFonts w:ascii="Courier New" w:hAnsi="Courier New"/>
          <w:sz w:val="17"/>
        </w:rPr>
        <w:t xml:space="preserve">    schweren Grades    90-100</w:t>
      </w:r>
    </w:p>
    <w:p>
      <w:r>
        <w:rPr>
          <w:rFonts w:ascii="Courier New" w:hAnsi="Courier New"/>
          <w:sz w:val="17"/>
        </w:rPr>
        <w:t xml:space="preserve">Notwendigkeit der Dauerbehandlung mit Blutreinigungsverfahren (z. B. Hämodialyse, Peritonealdialyse)    100</w:t>
      </w:r>
    </w:p>
    <w:p>
      <w:r>
        <w:rPr>
          <w:rFonts w:ascii="Courier New" w:hAnsi="Courier New"/>
          <w:sz w:val="17"/>
        </w:rPr>
        <w:t xml:space="preserve">Bei allen Nierenschäden mit Funktionseinschränkungen sind Sekundärleiden (z. B. Hypertonie, ausgeprägte Anämie [Hb-Wert unter 8 g/dl], Polyneuropathie, Osteopathie) zusätzlich zu bewerten.    </w:t>
      </w:r>
    </w:p>
    <w:p>
      <w:r>
        <w:rPr>
          <w:rFonts w:ascii="Courier New" w:hAnsi="Courier New"/>
          <w:sz w:val="17"/>
        </w:rPr>
        <w:t xml:space="preserve">12.1.4 Nach Nierentransplantation ist eine Heilungsbewährung abzuwarten (im Allgemeinen zwei Jahre); während dieser Zeit ist ein GdS von 100 anzusetzen. Danach ist der GdS entscheidend abhängig von der verbliebenen Funktionsstörung; unter Mitberücksichtigung der erforderlichen Immunsuppression ist jedoch der GdS nicht niedriger als 50 zu bewerten.    </w:t>
      </w:r>
    </w:p>
    <w:p>
      <w:r>
        <w:rPr>
          <w:rFonts w:ascii="Courier New" w:hAnsi="Courier New"/>
          <w:sz w:val="17"/>
        </w:rPr>
        <w:t xml:space="preserve">Nach Entfernung eines malignen Nierentumors oder Nierenbeckentumors ist eine Heilungsbewährung abzuwarten.    </w:t>
      </w:r>
    </w:p>
    <w:p>
      <w:r>
        <w:rPr>
          <w:rFonts w:ascii="Courier New" w:hAnsi="Courier New"/>
          <w:sz w:val="17"/>
        </w:rPr>
        <w:t xml:space="preserve">GdS während einer Heilungsbewährung von zwei Jahren    </w:t>
      </w:r>
    </w:p>
    <w:p>
      <w:r>
        <w:rPr>
          <w:rFonts w:ascii="Courier New" w:hAnsi="Courier New"/>
          <w:sz w:val="17"/>
        </w:rPr>
        <w:t xml:space="preserve">    nach Entfernung eines Nierenzellkarzinoms (Hypernephrom) im Stadium T1 N0 M0 (Grading G1)    50</w:t>
      </w:r>
    </w:p>
    <w:p>
      <w:r>
        <w:rPr>
          <w:rFonts w:ascii="Courier New" w:hAnsi="Courier New"/>
          <w:sz w:val="17"/>
        </w:rPr>
        <w:t xml:space="preserve">    nach Entfernung eines Nierenbeckentumors im Stadium Ta N0 M0 (Grading G1)    50</w:t>
      </w:r>
    </w:p>
    <w:p>
      <w:r>
        <w:rPr>
          <w:rFonts w:ascii="Courier New" w:hAnsi="Courier New"/>
          <w:sz w:val="17"/>
        </w:rPr>
        <w:t xml:space="preserve">GdS während einer Heilungsbewährung von fünf Jahren nach Entfernung eines Nierenzellkarzinoms (Hypernephrom)    </w:t>
      </w:r>
    </w:p>
    <w:p>
      <w:r>
        <w:rPr>
          <w:rFonts w:ascii="Courier New" w:hAnsi="Courier New"/>
          <w:sz w:val="17"/>
        </w:rPr>
        <w:t xml:space="preserve">        im Stadium (T1 [Grading ab G2], T2) N0 M0    60</w:t>
      </w:r>
    </w:p>
    <w:p>
      <w:r>
        <w:rPr>
          <w:rFonts w:ascii="Courier New" w:hAnsi="Courier New"/>
          <w:sz w:val="17"/>
        </w:rPr>
        <w:t xml:space="preserve">        in höheren Stadien    wenigstens 80</w:t>
      </w:r>
    </w:p>
    <w:p>
      <w:r>
        <w:rPr>
          <w:rFonts w:ascii="Courier New" w:hAnsi="Courier New"/>
          <w:sz w:val="17"/>
        </w:rPr>
        <w:t xml:space="preserve">    nach Entfernung eines Nierenbeckentumors    </w:t>
      </w:r>
    </w:p>
    <w:p>
      <w:r>
        <w:rPr>
          <w:rFonts w:ascii="Courier New" w:hAnsi="Courier New"/>
          <w:sz w:val="17"/>
        </w:rPr>
        <w:t xml:space="preserve">        im Stadium (T1 bis T2) N0 M0    60</w:t>
      </w:r>
    </w:p>
    <w:p>
      <w:r>
        <w:rPr>
          <w:rFonts w:ascii="Courier New" w:hAnsi="Courier New"/>
          <w:sz w:val="17"/>
        </w:rPr>
        <w:t xml:space="preserve">        in höheren Stadien    wenigstens 80</w:t>
      </w:r>
    </w:p>
    <w:p>
      <w:r>
        <w:rPr>
          <w:rFonts w:ascii="Courier New" w:hAnsi="Courier New"/>
          <w:sz w:val="17"/>
        </w:rPr>
        <w:t xml:space="preserve">    nach Entfernung eines Nephroblastoms    </w:t>
      </w:r>
    </w:p>
    <w:p>
      <w:r>
        <w:rPr>
          <w:rFonts w:ascii="Courier New" w:hAnsi="Courier New"/>
          <w:sz w:val="17"/>
        </w:rPr>
        <w:t xml:space="preserve">        im Stadium I und II    60</w:t>
      </w:r>
    </w:p>
    <w:p>
      <w:r>
        <w:rPr>
          <w:rFonts w:ascii="Courier New" w:hAnsi="Courier New"/>
          <w:sz w:val="17"/>
        </w:rPr>
        <w:t xml:space="preserve">        in höheren Stadien    wenigstens 80</w:t>
      </w:r>
    </w:p>
    <w:p>
      <w:r>
        <w:rPr>
          <w:rFonts w:ascii="Courier New" w:hAnsi="Courier New"/>
          <w:sz w:val="17"/>
        </w:rPr>
        <w:t xml:space="preserve">12.2 Schäden der Harnwege    </w:t>
      </w:r>
    </w:p>
    <w:p>
      <w:r>
        <w:rPr>
          <w:rFonts w:ascii="Courier New" w:hAnsi="Courier New"/>
          <w:sz w:val="17"/>
        </w:rPr>
        <w:t xml:space="preserve">12.2.1 Chronische Harnwegsentzündungen (insbesondere chronische Harnblasenentzündung)    </w:t>
      </w:r>
    </w:p>
    <w:p>
      <w:r>
        <w:rPr>
          <w:rFonts w:ascii="Courier New" w:hAnsi="Courier New"/>
          <w:sz w:val="17"/>
        </w:rPr>
        <w:t xml:space="preserve">    leichten Grades (ohne wesentliche Miktionsstörungen)    0-10</w:t>
      </w:r>
    </w:p>
    <w:p>
      <w:r>
        <w:rPr>
          <w:rFonts w:ascii="Courier New" w:hAnsi="Courier New"/>
          <w:sz w:val="17"/>
        </w:rPr>
        <w:t xml:space="preserve">    stärkeren Grades    </w:t>
      </w:r>
    </w:p>
    <w:p>
      <w:r>
        <w:rPr>
          <w:rFonts w:ascii="Courier New" w:hAnsi="Courier New"/>
          <w:sz w:val="17"/>
        </w:rPr>
        <w:t xml:space="preserve">    (mit erheblichen und häufigen Miktionsstörungen)    20-40</w:t>
      </w:r>
    </w:p>
    <w:p>
      <w:r>
        <w:rPr>
          <w:rFonts w:ascii="Courier New" w:hAnsi="Courier New"/>
          <w:sz w:val="17"/>
        </w:rPr>
        <w:t xml:space="preserve">    chronische Harnblasenentzündung mit Schrumpfblase    </w:t>
      </w:r>
    </w:p>
    <w:p>
      <w:r>
        <w:rPr>
          <w:rFonts w:ascii="Courier New" w:hAnsi="Courier New"/>
          <w:sz w:val="17"/>
        </w:rPr>
        <w:t xml:space="preserve">    (Fassungsvermögen unter 100 ml, Blasentenesmen)    50-70</w:t>
      </w:r>
    </w:p>
    <w:p>
      <w:r>
        <w:rPr>
          <w:rFonts w:ascii="Courier New" w:hAnsi="Courier New"/>
          <w:sz w:val="17"/>
        </w:rPr>
        <w:t xml:space="preserve">12.2.2 Bei Entleerungsstörungen der Blase (auch durch Harnröhrenverengung) sind Begleiterscheinungen (z. B. Hautschäden, Harnwegsentzündungen) ggf. zusätzlich zu bewerten.</w:t>
      </w:r>
    </w:p>
    <w:p>
      <w:r>
        <w:rPr>
          <w:rFonts w:ascii="Courier New" w:hAnsi="Courier New"/>
          <w:sz w:val="17"/>
        </w:rPr>
        <w:t xml:space="preserve">Entleerungsstörungen der Blase    </w:t>
      </w:r>
    </w:p>
    <w:p>
      <w:r>
        <w:rPr>
          <w:rFonts w:ascii="Courier New" w:hAnsi="Courier New"/>
          <w:sz w:val="17"/>
        </w:rPr>
        <w:t xml:space="preserve">    leichten Grades    </w:t>
      </w:r>
    </w:p>
    <w:p>
      <w:r>
        <w:rPr>
          <w:rFonts w:ascii="Courier New" w:hAnsi="Courier New"/>
          <w:sz w:val="17"/>
        </w:rPr>
        <w:t xml:space="preserve">    (z. B. geringe Restharnbildung, längeres Nachträufeln)    10</w:t>
      </w:r>
    </w:p>
    <w:p>
      <w:r>
        <w:rPr>
          <w:rFonts w:ascii="Courier New" w:hAnsi="Courier New"/>
          <w:sz w:val="17"/>
        </w:rPr>
        <w:t xml:space="preserve">    stärkeren Grades    </w:t>
      </w:r>
    </w:p>
    <w:p>
      <w:r>
        <w:rPr>
          <w:rFonts w:ascii="Courier New" w:hAnsi="Courier New"/>
          <w:sz w:val="17"/>
        </w:rPr>
        <w:t xml:space="preserve">    (z. B. Notwendigkeit manueller Entleerung, Anwendung eines Blasenschrittmachers, erhebliche Restharnbildung, schmerzhaftes Harnlassen)    20-40</w:t>
      </w:r>
    </w:p>
    <w:p>
      <w:r>
        <w:rPr>
          <w:rFonts w:ascii="Courier New" w:hAnsi="Courier New"/>
          <w:sz w:val="17"/>
        </w:rPr>
        <w:t xml:space="preserve">    mit Notwendigkeit regelmäßigen Katheterisierens, eines Dauerkatheters, eines suprapubischen Blasenfistelkatheters oder Notwendigkeit eines Urinals, ohne wesentliche Begleiterscheinungen    50</w:t>
      </w:r>
    </w:p>
    <w:p>
      <w:r>
        <w:rPr>
          <w:rFonts w:ascii="Courier New" w:hAnsi="Courier New"/>
          <w:sz w:val="17"/>
        </w:rPr>
        <w:t xml:space="preserve">12.2.3 Nach Entfernung eines malignen Blasentumors ist eine Heilungsbewährung abzuwarten.    </w:t>
      </w:r>
    </w:p>
    <w:p>
      <w:r>
        <w:rPr>
          <w:rFonts w:ascii="Courier New" w:hAnsi="Courier New"/>
          <w:sz w:val="17"/>
        </w:rPr>
        <w:t xml:space="preserve">GdS während einer Heilungsbewährung von zwei Jahren nach    </w:t>
      </w:r>
    </w:p>
    <w:p>
      <w:r>
        <w:rPr>
          <w:rFonts w:ascii="Courier New" w:hAnsi="Courier New"/>
          <w:sz w:val="17"/>
        </w:rPr>
        <w:t xml:space="preserve">    Entfernung des Tumors im Frühstadium unter Belassung der Harnblase (Ta bis T1) N0 M0, Grading G1    50</w:t>
      </w:r>
    </w:p>
    <w:p>
      <w:r>
        <w:rPr>
          <w:rFonts w:ascii="Courier New" w:hAnsi="Courier New"/>
          <w:sz w:val="17"/>
        </w:rPr>
        <w:t xml:space="preserve">GdS während einer Heilungsbewährung von fünf Jahren</w:t>
      </w:r>
    </w:p>
    <w:p>
      <w:r>
        <w:rPr>
          <w:rFonts w:ascii="Courier New" w:hAnsi="Courier New"/>
          <w:sz w:val="17"/>
        </w:rPr>
        <w:t xml:space="preserve">    nach Entfernung im Stadium Tis oder T1 (Grading ab G2)    50</w:t>
      </w:r>
    </w:p>
    <w:p>
      <w:r>
        <w:rPr>
          <w:rFonts w:ascii="Courier New" w:hAnsi="Courier New"/>
          <w:sz w:val="17"/>
        </w:rPr>
        <w:t xml:space="preserve">    nach Entfernung in den Stadien (T2 bis T3a) N0 M0    60</w:t>
      </w:r>
    </w:p>
    <w:p>
      <w:r>
        <w:rPr>
          <w:rFonts w:ascii="Courier New" w:hAnsi="Courier New"/>
          <w:sz w:val="17"/>
        </w:rPr>
        <w:t xml:space="preserve">    mit Blasenentfernung einschließlich künstlicher Harnableitung    80</w:t>
      </w:r>
    </w:p>
    <w:p>
      <w:r>
        <w:rPr>
          <w:rFonts w:ascii="Courier New" w:hAnsi="Courier New"/>
          <w:sz w:val="17"/>
        </w:rPr>
        <w:t xml:space="preserve">    nach Entfernung in höheren Stadien    100</w:t>
      </w:r>
    </w:p>
    <w:p>
      <w:r>
        <w:rPr>
          <w:rFonts w:ascii="Courier New" w:hAnsi="Courier New"/>
          <w:sz w:val="17"/>
        </w:rPr>
        <w:t xml:space="preserve">12.2.4 Harninkontinenz    </w:t>
      </w:r>
    </w:p>
    <w:p>
      <w:r>
        <w:rPr>
          <w:rFonts w:ascii="Courier New" w:hAnsi="Courier New"/>
          <w:sz w:val="17"/>
        </w:rPr>
        <w:t xml:space="preserve">    relative    </w:t>
      </w:r>
    </w:p>
    <w:p>
      <w:r>
        <w:rPr>
          <w:rFonts w:ascii="Courier New" w:hAnsi="Courier New"/>
          <w:sz w:val="17"/>
        </w:rPr>
        <w:t xml:space="preserve">        leichter Harnabgang bei Belastung (z. B. Stressinkontinenz Grad I)    0-10</w:t>
      </w:r>
    </w:p>
    <w:p>
      <w:r>
        <w:rPr>
          <w:rFonts w:ascii="Courier New" w:hAnsi="Courier New"/>
          <w:sz w:val="17"/>
        </w:rPr>
        <w:t xml:space="preserve">        Harnabgang tags und nachts (z. B. Stressinkontinenz Grad II-III)    20-40</w:t>
      </w:r>
    </w:p>
    <w:p>
      <w:r>
        <w:rPr>
          <w:rFonts w:ascii="Courier New" w:hAnsi="Courier New"/>
          <w:sz w:val="17"/>
        </w:rPr>
        <w:t xml:space="preserve">    völlige Harninkontinenz    50</w:t>
      </w:r>
    </w:p>
    <w:p>
      <w:r>
        <w:rPr>
          <w:rFonts w:ascii="Courier New" w:hAnsi="Courier New"/>
          <w:sz w:val="17"/>
        </w:rPr>
        <w:t xml:space="preserve">        bei ungünstiger Versorgungsmöglichkeit    60-70</w:t>
      </w:r>
    </w:p>
    <w:p>
      <w:r>
        <w:rPr>
          <w:rFonts w:ascii="Courier New" w:hAnsi="Courier New"/>
          <w:sz w:val="17"/>
        </w:rPr>
        <w:t xml:space="preserve">    nach Implantation einer Sphinkterprothese mit guter Funktion    20</w:t>
      </w:r>
    </w:p>
    <w:p>
      <w:r>
        <w:rPr>
          <w:rFonts w:ascii="Courier New" w:hAnsi="Courier New"/>
          <w:sz w:val="17"/>
        </w:rPr>
        <w:t xml:space="preserve">Harnröhren-Hautfistel der vorderen Harnröhre bei Harnkontinenz    10</w:t>
      </w:r>
    </w:p>
    <w:p>
      <w:r>
        <w:rPr>
          <w:rFonts w:ascii="Courier New" w:hAnsi="Courier New"/>
          <w:sz w:val="17"/>
        </w:rPr>
        <w:t xml:space="preserve">Harnweg-Darmfistel bei Analkontinenz, je nach Luft- und Stuhlentleerung über die Harnröhre    30-50</w:t>
      </w:r>
    </w:p>
    <w:p>
      <w:r>
        <w:rPr>
          <w:rFonts w:ascii="Courier New" w:hAnsi="Courier New"/>
          <w:sz w:val="17"/>
        </w:rPr>
        <w:t xml:space="preserve">Künstliche Harnableitung (ohne Nierenfunktionsstörung)    </w:t>
      </w:r>
    </w:p>
    <w:p>
      <w:r>
        <w:rPr>
          <w:rFonts w:ascii="Courier New" w:hAnsi="Courier New"/>
          <w:sz w:val="17"/>
        </w:rPr>
        <w:t xml:space="preserve">    in den Darm    30</w:t>
      </w:r>
    </w:p>
    <w:p>
      <w:r>
        <w:rPr>
          <w:rFonts w:ascii="Courier New" w:hAnsi="Courier New"/>
          <w:sz w:val="17"/>
        </w:rPr>
        <w:t xml:space="preserve">    nach außen    </w:t>
      </w:r>
    </w:p>
    <w:p>
      <w:r>
        <w:rPr>
          <w:rFonts w:ascii="Courier New" w:hAnsi="Courier New"/>
          <w:sz w:val="17"/>
        </w:rPr>
        <w:t xml:space="preserve">        mit guter Versorgungsmöglichkeit    50</w:t>
      </w:r>
    </w:p>
    <w:p>
      <w:r>
        <w:rPr>
          <w:rFonts w:ascii="Courier New" w:hAnsi="Courier New"/>
          <w:sz w:val="17"/>
        </w:rPr>
        <w:t xml:space="preserve">        sonst (z. B. bei Stenose, Retraktion, Abdichtungsproblemen)    60-80</w:t>
      </w:r>
    </w:p>
    <w:p>
      <w:r>
        <w:rPr>
          <w:rFonts w:ascii="Courier New" w:hAnsi="Courier New"/>
          <w:sz w:val="17"/>
        </w:rPr>
        <w:t xml:space="preserve">Darmneoblase mit ausreichendem Fassungsvermögen, ohne Harnstau, ohne wesentliche Entleerungsstörungen    30</w:t>
      </w:r>
    </w:p>
    <w:p>
      <w:pPr>
        <w:ind w:left="420"/>
      </w:pPr>
      <w:r>
        <w:t xml:space="preserve">13. Männliche Geschlechtsorgane</w:t>
      </w:r>
    </w:p>
    <w:p>
      <w:r>
        <w:rPr>
          <w:rFonts w:ascii="Courier New" w:hAnsi="Courier New"/>
          <w:sz w:val="17"/>
        </w:rPr>
        <w:t xml:space="preserve">13.1 Verlust des Penis</w:t>
      </w:r>
    </w:p>
    <w:p>
      <w:r>
        <w:rPr>
          <w:rFonts w:ascii="Courier New" w:hAnsi="Courier New"/>
          <w:sz w:val="17"/>
        </w:rPr>
        <w:t xml:space="preserve">Teilverlust des Penis    50</w:t>
      </w:r>
    </w:p>
    <w:p>
      <w:r>
        <w:rPr>
          <w:rFonts w:ascii="Courier New" w:hAnsi="Courier New"/>
          <w:sz w:val="17"/>
        </w:rPr>
        <w:t xml:space="preserve">    Teilverlust der Eichel    10</w:t>
      </w:r>
    </w:p>
    <w:p>
      <w:r>
        <w:rPr>
          <w:rFonts w:ascii="Courier New" w:hAnsi="Courier New"/>
          <w:sz w:val="17"/>
        </w:rPr>
        <w:t xml:space="preserve">    Verlust der Eichel    20</w:t>
      </w:r>
    </w:p>
    <w:p>
      <w:r>
        <w:rPr>
          <w:rFonts w:ascii="Courier New" w:hAnsi="Courier New"/>
          <w:sz w:val="17"/>
        </w:rPr>
        <w:t xml:space="preserve">    Sonst    30-40</w:t>
      </w:r>
    </w:p>
    <w:p>
      <w:r>
        <w:rPr>
          <w:rFonts w:ascii="Courier New" w:hAnsi="Courier New"/>
          <w:sz w:val="17"/>
        </w:rPr>
        <w:t xml:space="preserve">Nach Entfernung eines malignen Penistumors ist in den ersten fünf Jahren eine Heilungsbewährung abzuwarten; GdS während dieser Zeit nach Entfernung im Frühstadium (T1 bis T2) N0 M0    </w:t>
      </w:r>
    </w:p>
    <w:p>
      <w:r>
        <w:rPr>
          <w:rFonts w:ascii="Courier New" w:hAnsi="Courier New"/>
          <w:sz w:val="17"/>
        </w:rPr>
        <w:t xml:space="preserve">    bei Teilverlust des Penis    50</w:t>
      </w:r>
    </w:p>
    <w:p>
      <w:r>
        <w:rPr>
          <w:rFonts w:ascii="Courier New" w:hAnsi="Courier New"/>
          <w:sz w:val="17"/>
        </w:rPr>
        <w:t xml:space="preserve">    bei Verlust des Penis    60</w:t>
      </w:r>
    </w:p>
    <w:p>
      <w:r>
        <w:rPr>
          <w:rFonts w:ascii="Courier New" w:hAnsi="Courier New"/>
          <w:sz w:val="17"/>
        </w:rPr>
        <w:t xml:space="preserve">        mit vollständiger Entfernung der Corpora cavernosa    80</w:t>
      </w:r>
    </w:p>
    <w:p>
      <w:r>
        <w:rPr>
          <w:rFonts w:ascii="Courier New" w:hAnsi="Courier New"/>
          <w:sz w:val="17"/>
        </w:rPr>
        <w:t xml:space="preserve">    nach Entfernung in höheren Stadien    90-100</w:t>
      </w:r>
    </w:p>
    <w:p>
      <w:r>
        <w:rPr>
          <w:rFonts w:ascii="Courier New" w:hAnsi="Courier New"/>
          <w:sz w:val="17"/>
        </w:rPr>
        <w:t xml:space="preserve">13.2 Unterentwicklung, Verlust oder Schwund eines Hodens bei intaktem anderen Hoden    0</w:t>
      </w:r>
    </w:p>
    <w:p>
      <w:r>
        <w:rPr>
          <w:rFonts w:ascii="Courier New" w:hAnsi="Courier New"/>
          <w:sz w:val="17"/>
        </w:rPr>
        <w:t xml:space="preserve">Unterentwicklung, Verlust oder vollständiger Schwund beider Hoden    </w:t>
      </w:r>
    </w:p>
    <w:p>
      <w:r>
        <w:rPr>
          <w:rFonts w:ascii="Courier New" w:hAnsi="Courier New"/>
          <w:sz w:val="17"/>
        </w:rPr>
        <w:t xml:space="preserve">    in höherem Lebensalter (etwa ab 8. Lebensjahrzehnt)    10</w:t>
      </w:r>
    </w:p>
    <w:p>
      <w:r>
        <w:rPr>
          <w:rFonts w:ascii="Courier New" w:hAnsi="Courier New"/>
          <w:sz w:val="17"/>
        </w:rPr>
        <w:t xml:space="preserve">    sonst je nach Ausgleichbarkeit des Hormonhaushalts durch Substitution    20-30</w:t>
      </w:r>
    </w:p>
    <w:p>
      <w:r>
        <w:rPr>
          <w:rFonts w:ascii="Courier New" w:hAnsi="Courier New"/>
          <w:sz w:val="17"/>
        </w:rPr>
        <w:t xml:space="preserve">        vor Abschluss der körperlichen Entwicklung    20-40</w:t>
      </w:r>
    </w:p>
    <w:p>
      <w:r>
        <w:rPr>
          <w:rFonts w:ascii="Courier New" w:hAnsi="Courier New"/>
          <w:sz w:val="17"/>
        </w:rPr>
        <w:t xml:space="preserve">Verlust oder Schwund eines Nebenhodens    0</w:t>
      </w:r>
    </w:p>
    <w:p>
      <w:r>
        <w:rPr>
          <w:rFonts w:ascii="Courier New" w:hAnsi="Courier New"/>
          <w:sz w:val="17"/>
        </w:rPr>
        <w:t xml:space="preserve">Verlust oder vollständiger Schwund beider Nebenhoden und/oder Zeugungsunfähigkeit (Impotentia generandi)    0</w:t>
      </w:r>
    </w:p>
    <w:p>
      <w:r>
        <w:rPr>
          <w:rFonts w:ascii="Courier New" w:hAnsi="Courier New"/>
          <w:sz w:val="17"/>
        </w:rPr>
        <w:t xml:space="preserve">    in jüngerem Lebensalter bei noch bestehendem Kinderwunsch    20</w:t>
      </w:r>
    </w:p>
    <w:p>
      <w:r>
        <w:rPr>
          <w:rFonts w:ascii="Courier New" w:hAnsi="Courier New"/>
          <w:sz w:val="17"/>
        </w:rPr>
        <w:t xml:space="preserve">    Impotentia coeundi bei nachgewiesener erfolgloser Behandlung    20</w:t>
      </w:r>
    </w:p>
    <w:p>
      <w:r>
        <w:rPr>
          <w:rFonts w:ascii="Courier New" w:hAnsi="Courier New"/>
          <w:sz w:val="17"/>
        </w:rPr>
        <w:t xml:space="preserve">13.3 Hydrozele (sog. Wasserbruch)    0-10</w:t>
      </w:r>
    </w:p>
    <w:p>
      <w:r>
        <w:rPr>
          <w:rFonts w:ascii="Courier New" w:hAnsi="Courier New"/>
          <w:sz w:val="17"/>
        </w:rPr>
        <w:t xml:space="preserve">Varikozele (sog. Krampfaderbruch)    0-10</w:t>
      </w:r>
    </w:p>
    <w:p>
      <w:r>
        <w:rPr>
          <w:rFonts w:ascii="Courier New" w:hAnsi="Courier New"/>
          <w:sz w:val="17"/>
        </w:rPr>
        <w:t xml:space="preserve">13.4 Nach Entfernung eines malignen Hodentumors ist eine Heilungsbewährung abzuwarten.    </w:t>
      </w:r>
    </w:p>
    <w:p>
      <w:r>
        <w:rPr>
          <w:rFonts w:ascii="Courier New" w:hAnsi="Courier New"/>
          <w:sz w:val="17"/>
        </w:rPr>
        <w:t xml:space="preserve">GdS während einer Heilungsbewährung von zwei Jahren    </w:t>
      </w:r>
    </w:p>
    <w:p>
      <w:r>
        <w:rPr>
          <w:rFonts w:ascii="Courier New" w:hAnsi="Courier New"/>
          <w:sz w:val="17"/>
        </w:rPr>
        <w:t xml:space="preserve">    nach Entfernung eines Seminoms oder nichtseminomatösen    </w:t>
      </w:r>
    </w:p>
    <w:p>
      <w:r>
        <w:rPr>
          <w:rFonts w:ascii="Courier New" w:hAnsi="Courier New"/>
          <w:sz w:val="17"/>
        </w:rPr>
        <w:t xml:space="preserve">    Tumors im Stadium (T1 bis T2) N0 M0    50</w:t>
      </w:r>
    </w:p>
    <w:p>
      <w:r>
        <w:rPr>
          <w:rFonts w:ascii="Courier New" w:hAnsi="Courier New"/>
          <w:sz w:val="17"/>
        </w:rPr>
        <w:t xml:space="preserve">GdS während einer Heilungsbewährung von fünf Jahren nach Entfernung    </w:t>
      </w:r>
    </w:p>
    <w:p>
      <w:r>
        <w:rPr>
          <w:rFonts w:ascii="Courier New" w:hAnsi="Courier New"/>
          <w:sz w:val="17"/>
        </w:rPr>
        <w:t xml:space="preserve">    eines Seminoms im Stadium (T1 bis T2) N1 M0 bzw. T3 N0 M0    50</w:t>
      </w:r>
    </w:p>
    <w:p>
      <w:r>
        <w:rPr>
          <w:rFonts w:ascii="Courier New" w:hAnsi="Courier New"/>
          <w:sz w:val="17"/>
        </w:rPr>
        <w:t xml:space="preserve">    nach Entfernung eines nichtseminomatösen Tumors im Stadium (T1 bis T2) N1 M0 bzw. T3 N0 M0    60</w:t>
      </w:r>
    </w:p>
    <w:p>
      <w:r>
        <w:rPr>
          <w:rFonts w:ascii="Courier New" w:hAnsi="Courier New"/>
          <w:sz w:val="17"/>
        </w:rPr>
        <w:t xml:space="preserve">    in höheren Stadien    80</w:t>
      </w:r>
    </w:p>
    <w:p>
      <w:r>
        <w:rPr>
          <w:rFonts w:ascii="Courier New" w:hAnsi="Courier New"/>
          <w:sz w:val="17"/>
        </w:rPr>
        <w:t xml:space="preserve">13.5 Chronische bakterielle Entzündung der Vorsteherdrüse oder abakterielle Prostatopathie    </w:t>
      </w:r>
    </w:p>
    <w:p>
      <w:r>
        <w:rPr>
          <w:rFonts w:ascii="Courier New" w:hAnsi="Courier New"/>
          <w:sz w:val="17"/>
        </w:rPr>
        <w:t xml:space="preserve">    ohne wesentliche Miktionsstörung    0-10</w:t>
      </w:r>
    </w:p>
    <w:p>
      <w:r>
        <w:rPr>
          <w:rFonts w:ascii="Courier New" w:hAnsi="Courier New"/>
          <w:sz w:val="17"/>
        </w:rPr>
        <w:t xml:space="preserve">    mit andauernden Miktionsstörungen und Schmerzen    20</w:t>
      </w:r>
    </w:p>
    <w:p>
      <w:r>
        <w:rPr>
          <w:rFonts w:ascii="Courier New" w:hAnsi="Courier New"/>
          <w:sz w:val="17"/>
        </w:rPr>
        <w:t xml:space="preserve">Prostataadenom    </w:t>
      </w:r>
    </w:p>
    <w:p>
      <w:r>
        <w:rPr>
          <w:rFonts w:ascii="Courier New" w:hAnsi="Courier New"/>
          <w:sz w:val="17"/>
        </w:rPr>
        <w:t xml:space="preserve">    Der GdS richtet sich nach den Harnentleerungsstörungen und der Rückwirkung auf die Nierenfunktion.    </w:t>
      </w:r>
    </w:p>
    <w:p>
      <w:r>
        <w:rPr>
          <w:rFonts w:ascii="Courier New" w:hAnsi="Courier New"/>
          <w:sz w:val="17"/>
        </w:rPr>
        <w:t xml:space="preserve">13.6 Nach Entfernung eines malignen Prostatatumors ist eine Heilungsbewährung abzuwarten.</w:t>
      </w:r>
    </w:p>
    <w:p>
      <w:r>
        <w:rPr>
          <w:rFonts w:ascii="Courier New" w:hAnsi="Courier New"/>
          <w:sz w:val="17"/>
        </w:rPr>
        <w:t xml:space="preserve">GdS während einer Heilungsbewährung von zwei Jahren    </w:t>
      </w:r>
    </w:p>
    <w:p>
      <w:r>
        <w:rPr>
          <w:rFonts w:ascii="Courier New" w:hAnsi="Courier New"/>
          <w:sz w:val="17"/>
        </w:rPr>
        <w:t xml:space="preserve">    nach Entfernung im Stadium T1a N0 M0 (Grading G1)    50</w:t>
      </w:r>
    </w:p>
    <w:p>
      <w:r>
        <w:rPr>
          <w:rFonts w:ascii="Courier New" w:hAnsi="Courier New"/>
          <w:sz w:val="17"/>
        </w:rPr>
        <w:t xml:space="preserve">GdS während einer Heilungsbewährung von fünf Jahren    </w:t>
      </w:r>
    </w:p>
    <w:p>
      <w:r>
        <w:rPr>
          <w:rFonts w:ascii="Courier New" w:hAnsi="Courier New"/>
          <w:sz w:val="17"/>
        </w:rPr>
        <w:t xml:space="preserve">    nach Entfernung in den Stadien T1a N0 M0 (Grading ab G2) und (T1b bis T2) N0 M0    50</w:t>
      </w:r>
    </w:p>
    <w:p>
      <w:r>
        <w:rPr>
          <w:rFonts w:ascii="Courier New" w:hAnsi="Courier New"/>
          <w:sz w:val="17"/>
        </w:rPr>
        <w:t xml:space="preserve">    nach Entfernung in höheren Stadien    wenigstens 80</w:t>
      </w:r>
    </w:p>
    <w:p>
      <w:r>
        <w:rPr>
          <w:rFonts w:ascii="Courier New" w:hAnsi="Courier New"/>
          <w:sz w:val="17"/>
        </w:rPr>
        <w:t xml:space="preserve">Maligner Prostatatumor    </w:t>
      </w:r>
    </w:p>
    <w:p>
      <w:r>
        <w:rPr>
          <w:rFonts w:ascii="Courier New" w:hAnsi="Courier New"/>
          <w:sz w:val="17"/>
        </w:rPr>
        <w:t xml:space="preserve">    ohne Notwendigkeit einer Behandlung    50</w:t>
      </w:r>
    </w:p>
    <w:p>
      <w:r>
        <w:rPr>
          <w:rFonts w:ascii="Courier New" w:hAnsi="Courier New"/>
          <w:sz w:val="17"/>
        </w:rPr>
        <w:t xml:space="preserve">    auf Dauer hormonbehandelt    wenigstens 60</w:t>
      </w:r>
    </w:p>
    <w:p>
      <w:pPr>
        <w:ind w:left="420"/>
      </w:pPr>
      <w:r>
        <w:t xml:space="preserve">14. Weibliche Geschlechtsorgane</w:t>
      </w:r>
    </w:p>
    <w:p>
      <w:r>
        <w:rPr>
          <w:rFonts w:ascii="Courier New" w:hAnsi="Courier New"/>
          <w:sz w:val="17"/>
        </w:rPr>
        <w:t xml:space="preserve">14.1 Verlust der Brust (Mastektomie)</w:t>
      </w:r>
    </w:p>
    <w:p>
      <w:r>
        <w:rPr>
          <w:rFonts w:ascii="Courier New" w:hAnsi="Courier New"/>
          <w:sz w:val="17"/>
        </w:rPr>
        <w:t xml:space="preserve">    einseitig    30</w:t>
      </w:r>
    </w:p>
    <w:p>
      <w:r>
        <w:rPr>
          <w:rFonts w:ascii="Courier New" w:hAnsi="Courier New"/>
          <w:sz w:val="17"/>
        </w:rPr>
        <w:t xml:space="preserve">    beidseitig    40</w:t>
      </w:r>
    </w:p>
    <w:p>
      <w:r>
        <w:rPr>
          <w:rFonts w:ascii="Courier New" w:hAnsi="Courier New"/>
          <w:sz w:val="17"/>
        </w:rPr>
        <w:t xml:space="preserve">Segment- oder Quadrantenresektion der Brust    0-20</w:t>
      </w:r>
    </w:p>
    <w:p>
      <w:r>
        <w:rPr>
          <w:rFonts w:ascii="Courier New" w:hAnsi="Courier New"/>
          <w:sz w:val="17"/>
        </w:rPr>
        <w:t xml:space="preserve">Funktionseinschränkungen im Schultergürtel, des Armes oder der Wirbelsäule als Operations- oder Bestrahlungsfolgen (z. B. Lymphödem, Muskeldefekte, Nerven-läsionen, Fehlhaltung) sind ggf. zusätzlich zu berücksichtigen.    </w:t>
      </w:r>
    </w:p>
    <w:p>
      <w:r>
        <w:rPr>
          <w:rFonts w:ascii="Courier New" w:hAnsi="Courier New"/>
          <w:sz w:val="17"/>
        </w:rPr>
        <w:t xml:space="preserve">Aufbauplastik zur Wiederherstellung der Brust mit Prothese je nach Ergebnis (z. B. Kapselfibrose, Dislokation der Prothese, Symmetrie)    </w:t>
      </w:r>
    </w:p>
    <w:p>
      <w:r>
        <w:rPr>
          <w:rFonts w:ascii="Courier New" w:hAnsi="Courier New"/>
          <w:sz w:val="17"/>
        </w:rPr>
        <w:t xml:space="preserve">    nach Mastektomie    </w:t>
      </w:r>
    </w:p>
    <w:p>
      <w:r>
        <w:rPr>
          <w:rFonts w:ascii="Courier New" w:hAnsi="Courier New"/>
          <w:sz w:val="17"/>
        </w:rPr>
        <w:t xml:space="preserve">        einseitig    10-30</w:t>
      </w:r>
    </w:p>
    <w:p>
      <w:r>
        <w:rPr>
          <w:rFonts w:ascii="Courier New" w:hAnsi="Courier New"/>
          <w:sz w:val="17"/>
        </w:rPr>
        <w:t xml:space="preserve">        beidseitig    20-40</w:t>
      </w:r>
    </w:p>
    <w:p>
      <w:r>
        <w:rPr>
          <w:rFonts w:ascii="Courier New" w:hAnsi="Courier New"/>
          <w:sz w:val="17"/>
        </w:rPr>
        <w:t xml:space="preserve">    nach subkutaner Mastektomie    </w:t>
      </w:r>
    </w:p>
    <w:p>
      <w:r>
        <w:rPr>
          <w:rFonts w:ascii="Courier New" w:hAnsi="Courier New"/>
          <w:sz w:val="17"/>
        </w:rPr>
        <w:t xml:space="preserve">        einseitig    10-20</w:t>
      </w:r>
    </w:p>
    <w:p>
      <w:r>
        <w:rPr>
          <w:rFonts w:ascii="Courier New" w:hAnsi="Courier New"/>
          <w:sz w:val="17"/>
        </w:rPr>
        <w:t xml:space="preserve">        beidseitig    20-30</w:t>
      </w:r>
    </w:p>
    <w:p>
      <w:r>
        <w:rPr>
          <w:rFonts w:ascii="Courier New" w:hAnsi="Courier New"/>
          <w:sz w:val="17"/>
        </w:rPr>
        <w:t xml:space="preserve">Nach Aufbauplastik zur Wiederherstellung der Brust mit Eigengewebe kommt ein geringerer GdS in Betracht.    </w:t>
      </w:r>
    </w:p>
    <w:p>
      <w:r>
        <w:rPr>
          <w:rFonts w:ascii="Courier New" w:hAnsi="Courier New"/>
          <w:sz w:val="17"/>
        </w:rPr>
        <w:t xml:space="preserve">Nach Entfernung eines malignen Brustdrüsentumors ist in den ersten fünf Jahren eine Heilungsbewährung abzuwarten.    </w:t>
      </w:r>
    </w:p>
    <w:p>
      <w:r>
        <w:rPr>
          <w:rFonts w:ascii="Courier New" w:hAnsi="Courier New"/>
          <w:sz w:val="17"/>
        </w:rPr>
        <w:t xml:space="preserve">GdS während dieser Zeit    </w:t>
      </w:r>
    </w:p>
    <w:p>
      <w:r>
        <w:rPr>
          <w:rFonts w:ascii="Courier New" w:hAnsi="Courier New"/>
          <w:sz w:val="17"/>
        </w:rPr>
        <w:t xml:space="preserve">    bei Entfernung im Stadium (T1 bis T2) pN0 M0    50</w:t>
      </w:r>
    </w:p>
    <w:p>
      <w:r>
        <w:rPr>
          <w:rFonts w:ascii="Courier New" w:hAnsi="Courier New"/>
          <w:sz w:val="17"/>
        </w:rPr>
        <w:t xml:space="preserve">    bei Entfernung im Stadium (T1 bis T2) pN1 M0    60</w:t>
      </w:r>
    </w:p>
    <w:p>
      <w:r>
        <w:rPr>
          <w:rFonts w:ascii="Courier New" w:hAnsi="Courier New"/>
          <w:sz w:val="17"/>
        </w:rPr>
        <w:t xml:space="preserve">    in höheren Stadien    wenigstens 80</w:t>
      </w:r>
    </w:p>
    <w:p>
      <w:r>
        <w:rPr>
          <w:rFonts w:ascii="Courier New" w:hAnsi="Courier New"/>
          <w:sz w:val="17"/>
        </w:rPr>
        <w:t xml:space="preserve">    Bedingen die Folgen der Operation und gegebenenfalls anderer Behandlungsmaßnahmen einen GdS von 50 oder mehr, ist der während der Heilungsbewährung anzusetzende GdS entsprechend höher zu bewerten.</w:t>
      </w:r>
    </w:p>
    <w:p>
      <w:r>
        <w:rPr>
          <w:rFonts w:ascii="Courier New" w:hAnsi="Courier New"/>
          <w:sz w:val="17"/>
        </w:rPr>
        <w:t xml:space="preserve">    Nach Entfernung eines Carcinoma in situ der Brustdrüse ist in den ersten zwei Jahren eine Heilungsbewährung abzuwarten. Der GdS beträgt während dieser Zeit 50.</w:t>
      </w:r>
    </w:p>
    <w:p>
      <w:r>
        <w:rPr>
          <w:rFonts w:ascii="Courier New" w:hAnsi="Courier New"/>
          <w:sz w:val="17"/>
        </w:rPr>
        <w:t xml:space="preserve">14.2 Verlust der Gebärmutter und/oder Sterilität    0</w:t>
      </w:r>
    </w:p>
    <w:p>
      <w:r>
        <w:rPr>
          <w:rFonts w:ascii="Courier New" w:hAnsi="Courier New"/>
          <w:sz w:val="17"/>
        </w:rPr>
        <w:t xml:space="preserve">in jüngerem Lebensalter bei noch bestehendem Kinderwunsch    20</w:t>
      </w:r>
    </w:p>
    <w:p>
      <w:r>
        <w:rPr>
          <w:rFonts w:ascii="Courier New" w:hAnsi="Courier New"/>
          <w:sz w:val="17"/>
        </w:rPr>
        <w:t xml:space="preserve">Nach Entfernung eines malignen Gebärmuttertumors ist eine Heilungsbewährung abzuwarten.</w:t>
      </w:r>
    </w:p>
    <w:p>
      <w:r>
        <w:rPr>
          <w:rFonts w:ascii="Courier New" w:hAnsi="Courier New"/>
          <w:sz w:val="17"/>
        </w:rPr>
        <w:t xml:space="preserve">GdS während einer Heilungsbewährung von zwei Jahren nach Entfernung eines Zervixtumors (Mikrokarzinom) im Stadium T1a N0 M0    50</w:t>
      </w:r>
    </w:p>
    <w:p>
      <w:r>
        <w:rPr>
          <w:rFonts w:ascii="Courier New" w:hAnsi="Courier New"/>
          <w:sz w:val="17"/>
        </w:rPr>
        <w:t xml:space="preserve">nach Entfernung eines Korpustumors im Frühstadium (Grading G1, Infiltration höchstens des inneren Drittels des Myometrium)    50</w:t>
      </w:r>
    </w:p>
    <w:p>
      <w:r>
        <w:rPr>
          <w:rFonts w:ascii="Courier New" w:hAnsi="Courier New"/>
          <w:sz w:val="17"/>
        </w:rPr>
        <w:t xml:space="preserve">GdS während einer Heilungsbewährung von fünf Jahren    </w:t>
      </w:r>
    </w:p>
    <w:p>
      <w:r>
        <w:rPr>
          <w:rFonts w:ascii="Courier New" w:hAnsi="Courier New"/>
          <w:sz w:val="17"/>
        </w:rPr>
        <w:t xml:space="preserve">nach Entfernung eines Zervixtumors    </w:t>
      </w:r>
    </w:p>
    <w:p>
      <w:r>
        <w:rPr>
          <w:rFonts w:ascii="Courier New" w:hAnsi="Courier New"/>
          <w:sz w:val="17"/>
        </w:rPr>
        <w:t xml:space="preserve">    im Stadium (T1b bis T2a) N0 M0    50</w:t>
      </w:r>
    </w:p>
    <w:p>
      <w:r>
        <w:rPr>
          <w:rFonts w:ascii="Courier New" w:hAnsi="Courier New"/>
          <w:sz w:val="17"/>
        </w:rPr>
        <w:t xml:space="preserve">    im Stadium T2b N0 M0    60</w:t>
      </w:r>
    </w:p>
    <w:p>
      <w:r>
        <w:rPr>
          <w:rFonts w:ascii="Courier New" w:hAnsi="Courier New"/>
          <w:sz w:val="17"/>
        </w:rPr>
        <w:t xml:space="preserve">    in höheren Stadien    80</w:t>
      </w:r>
    </w:p>
    <w:p>
      <w:r>
        <w:rPr>
          <w:rFonts w:ascii="Courier New" w:hAnsi="Courier New"/>
          <w:sz w:val="17"/>
        </w:rPr>
        <w:t xml:space="preserve">nach Entfernung eines Korpustumors    </w:t>
      </w:r>
    </w:p>
    <w:p>
      <w:r>
        <w:rPr>
          <w:rFonts w:ascii="Courier New" w:hAnsi="Courier New"/>
          <w:sz w:val="17"/>
        </w:rPr>
        <w:t xml:space="preserve">    im Stadium T1 N0 M0 (Grading ab G2, Infiltration über das innere Drittel des Myometrium hinaus)    50</w:t>
      </w:r>
    </w:p>
    <w:p>
      <w:r>
        <w:rPr>
          <w:rFonts w:ascii="Courier New" w:hAnsi="Courier New"/>
          <w:sz w:val="17"/>
        </w:rPr>
        <w:t xml:space="preserve">    im Stadium T2 N0 M0    60</w:t>
      </w:r>
    </w:p>
    <w:p>
      <w:r>
        <w:rPr>
          <w:rFonts w:ascii="Courier New" w:hAnsi="Courier New"/>
          <w:sz w:val="17"/>
        </w:rPr>
        <w:t xml:space="preserve">    in höheren Stadien    80</w:t>
      </w:r>
    </w:p>
    <w:p>
      <w:r>
        <w:rPr>
          <w:rFonts w:ascii="Courier New" w:hAnsi="Courier New"/>
          <w:sz w:val="17"/>
        </w:rPr>
        <w:t xml:space="preserve">14.3 Verlust eines Eierstockes    0</w:t>
      </w:r>
    </w:p>
    <w:p>
      <w:r>
        <w:rPr>
          <w:rFonts w:ascii="Courier New" w:hAnsi="Courier New"/>
          <w:sz w:val="17"/>
        </w:rPr>
        <w:t xml:space="preserve">Unterentwicklung, Verlust oder Ausfall beider Eierstöcke, ohne Kinderwunsch und ohne wesentliche Auswirkung auf    </w:t>
      </w:r>
    </w:p>
    <w:p>
      <w:r>
        <w:rPr>
          <w:rFonts w:ascii="Courier New" w:hAnsi="Courier New"/>
          <w:sz w:val="17"/>
        </w:rPr>
        <w:t xml:space="preserve">    den Hormonhaushalt - immer in der Postmenopause    10</w:t>
      </w:r>
    </w:p>
    <w:p>
      <w:r>
        <w:rPr>
          <w:rFonts w:ascii="Courier New" w:hAnsi="Courier New"/>
          <w:sz w:val="17"/>
        </w:rPr>
        <w:t xml:space="preserve">    im jüngeren Lebensalter bei noch bestehendem Kinderwunsch oder bei unzureichender Ausgleichbarkeit des Hormonausfalls durch Substitution    20-30</w:t>
      </w:r>
    </w:p>
    <w:p>
      <w:r>
        <w:rPr>
          <w:rFonts w:ascii="Courier New" w:hAnsi="Courier New"/>
          <w:sz w:val="17"/>
        </w:rPr>
        <w:t xml:space="preserve">    vor Abschluss der körperlichen Entwicklung je nach Ausgleichbarkeit des Hormonausfalls    20-40</w:t>
      </w:r>
    </w:p>
    <w:p>
      <w:r>
        <w:rPr>
          <w:rFonts w:ascii="Courier New" w:hAnsi="Courier New"/>
          <w:sz w:val="17"/>
        </w:rPr>
        <w:t xml:space="preserve">Endokrin bedingte Funktionsstörungen der Eierstöcke sind gut behandelbar, so dass im Allgemeinen anhaltende Beeinträchtigungen nicht zu erwarten sind. Selten auftretende Komplikationen (z. B. Sterilität, abnormer Haarwuchs) sind gesondert zu beurteilen.</w:t>
      </w:r>
    </w:p>
    <w:p>
      <w:r>
        <w:rPr>
          <w:rFonts w:ascii="Courier New" w:hAnsi="Courier New"/>
          <w:sz w:val="17"/>
        </w:rPr>
        <w:t xml:space="preserve">Nach Entfernung eines malignen Eierstocktumors ist in den ersten fünf Jahren eine Heilungsbewährung abzuwarten; GdS während dieser Zeit    </w:t>
      </w:r>
    </w:p>
    <w:p>
      <w:r>
        <w:rPr>
          <w:rFonts w:ascii="Courier New" w:hAnsi="Courier New"/>
          <w:sz w:val="17"/>
        </w:rPr>
        <w:t xml:space="preserve">    nach Entfernung im Stadium T1 N0 M0    50</w:t>
      </w:r>
    </w:p>
    <w:p>
      <w:r>
        <w:rPr>
          <w:rFonts w:ascii="Courier New" w:hAnsi="Courier New"/>
          <w:sz w:val="17"/>
        </w:rPr>
        <w:t xml:space="preserve">    in anderen Stadien    80</w:t>
      </w:r>
    </w:p>
    <w:p>
      <w:r>
        <w:rPr>
          <w:rFonts w:ascii="Courier New" w:hAnsi="Courier New"/>
          <w:sz w:val="17"/>
        </w:rPr>
        <w:t xml:space="preserve">14.4 Chronischer oder chronisch-rezidivierender entzündlicher Prozess der Adnexe und/oder der Parametrien je nach Art, Umfang und Kombination der Auswirkungen (z. B. Adhäsionsbeschwerden, chronische Schmerzen, Kohabitationsbeschwerden)    10-40</w:t>
      </w:r>
    </w:p>
    <w:p>
      <w:r>
        <w:rPr>
          <w:rFonts w:ascii="Courier New" w:hAnsi="Courier New"/>
          <w:sz w:val="17"/>
        </w:rPr>
        <w:t xml:space="preserve">14.5 Endometriose    </w:t>
      </w:r>
    </w:p>
    <w:p>
      <w:r>
        <w:rPr>
          <w:rFonts w:ascii="Courier New" w:hAnsi="Courier New"/>
          <w:sz w:val="17"/>
        </w:rPr>
        <w:t xml:space="preserve">    leichten Grades    </w:t>
      </w:r>
    </w:p>
    <w:p>
      <w:r>
        <w:rPr>
          <w:rFonts w:ascii="Courier New" w:hAnsi="Courier New"/>
          <w:sz w:val="17"/>
        </w:rPr>
        <w:t xml:space="preserve">    (geringe Ausdehnung, keine oder nur geringe Beschwerden)    0-10</w:t>
      </w:r>
    </w:p>
    <w:p>
      <w:r>
        <w:rPr>
          <w:rFonts w:ascii="Courier New" w:hAnsi="Courier New"/>
          <w:sz w:val="17"/>
        </w:rPr>
        <w:t xml:space="preserve">    mittleren Grades    20-40</w:t>
      </w:r>
    </w:p>
    <w:p>
      <w:r>
        <w:rPr>
          <w:rFonts w:ascii="Courier New" w:hAnsi="Courier New"/>
          <w:sz w:val="17"/>
        </w:rPr>
        <w:t xml:space="preserve">    schweren Grades    </w:t>
      </w:r>
    </w:p>
    <w:p>
      <w:r>
        <w:rPr>
          <w:rFonts w:ascii="Courier New" w:hAnsi="Courier New"/>
          <w:sz w:val="17"/>
        </w:rPr>
        <w:t xml:space="preserve">    (z. B. Übergreifen auf die Nachbarorgane, starke Beschwerden, erhebliche Beeinträchtigung des Allgemeinzustandes, Sterilität)    50-60</w:t>
      </w:r>
    </w:p>
    <w:p>
      <w:r>
        <w:rPr>
          <w:rFonts w:ascii="Courier New" w:hAnsi="Courier New"/>
          <w:sz w:val="17"/>
        </w:rPr>
        <w:t xml:space="preserve">14.6 Scheidenfisteln    </w:t>
      </w:r>
    </w:p>
    <w:p>
      <w:r>
        <w:rPr>
          <w:rFonts w:ascii="Courier New" w:hAnsi="Courier New"/>
          <w:sz w:val="17"/>
        </w:rPr>
        <w:t xml:space="preserve">    Harnweg-Scheidenfistel    50-60</w:t>
      </w:r>
    </w:p>
    <w:p>
      <w:r>
        <w:rPr>
          <w:rFonts w:ascii="Courier New" w:hAnsi="Courier New"/>
          <w:sz w:val="17"/>
        </w:rPr>
        <w:t xml:space="preserve">    Mastdarm-Scheidenfistel    60-70</w:t>
      </w:r>
    </w:p>
    <w:p>
      <w:r>
        <w:rPr>
          <w:rFonts w:ascii="Courier New" w:hAnsi="Courier New"/>
          <w:sz w:val="17"/>
        </w:rPr>
        <w:t xml:space="preserve">    Harnweg-Mastdarm-Scheidenfistel (Kloakenbildung)    100</w:t>
      </w:r>
    </w:p>
    <w:p>
      <w:r>
        <w:rPr>
          <w:rFonts w:ascii="Courier New" w:hAnsi="Courier New"/>
          <w:sz w:val="17"/>
        </w:rPr>
        <w:t xml:space="preserve">    Fisteln mit geringer funktioneller Beeinträchtigung sind entsprechend niedriger zu bewerten.    </w:t>
      </w:r>
    </w:p>
    <w:p>
      <w:r>
        <w:rPr>
          <w:rFonts w:ascii="Courier New" w:hAnsi="Courier New"/>
          <w:sz w:val="17"/>
        </w:rPr>
        <w:t xml:space="preserve">Senkung der Scheidenwand, Vorfall der Scheide und/oder der Gebärmutter    </w:t>
      </w:r>
    </w:p>
    <w:p>
      <w:r>
        <w:rPr>
          <w:rFonts w:ascii="Courier New" w:hAnsi="Courier New"/>
          <w:sz w:val="17"/>
        </w:rPr>
        <w:t xml:space="preserve">    ohne Harninkontinenz oder mit geringer Stressinkontinenz (Grad I)    0-10</w:t>
      </w:r>
    </w:p>
    <w:p>
      <w:r>
        <w:rPr>
          <w:rFonts w:ascii="Courier New" w:hAnsi="Courier New"/>
          <w:sz w:val="17"/>
        </w:rPr>
        <w:t xml:space="preserve">    mit stärkerer Harninkontinenz und/oder stärkeren Senkungsbeschwerden    20-40</w:t>
      </w:r>
    </w:p>
    <w:p>
      <w:r>
        <w:rPr>
          <w:rFonts w:ascii="Courier New" w:hAnsi="Courier New"/>
          <w:sz w:val="17"/>
        </w:rPr>
        <w:t xml:space="preserve">    mit völliger Harninkontinenz    50-60</w:t>
      </w:r>
    </w:p>
    <w:p>
      <w:r>
        <w:rPr>
          <w:rFonts w:ascii="Courier New" w:hAnsi="Courier New"/>
          <w:sz w:val="17"/>
        </w:rPr>
        <w:t xml:space="preserve">    bei ungünstiger Versorgungsmöglichkeit    70</w:t>
      </w:r>
    </w:p>
    <w:p>
      <w:r>
        <w:rPr>
          <w:rFonts w:ascii="Courier New" w:hAnsi="Courier New"/>
          <w:sz w:val="17"/>
        </w:rPr>
        <w:t xml:space="preserve">    Ulzerationen sind ggf. zusätzlich zu bewerten.    </w:t>
      </w:r>
    </w:p>
    <w:p>
      <w:r>
        <w:rPr>
          <w:rFonts w:ascii="Courier New" w:hAnsi="Courier New"/>
          <w:sz w:val="17"/>
        </w:rPr>
        <w:t xml:space="preserve">Isolierte Senkung der Scheidenhinterwand mit leichten Defäkationsstörungen    0-10</w:t>
      </w:r>
    </w:p>
    <w:p>
      <w:r>
        <w:rPr>
          <w:rFonts w:ascii="Courier New" w:hAnsi="Courier New"/>
          <w:sz w:val="17"/>
        </w:rPr>
        <w:t xml:space="preserve">Scheiden-Gebärmutteraplasie, ohne Plastik, nach Vollendung des 14. Lebensjahres (einschließlich Sterilität)    40</w:t>
      </w:r>
    </w:p>
    <w:p>
      <w:r>
        <w:rPr>
          <w:rFonts w:ascii="Courier New" w:hAnsi="Courier New"/>
          <w:sz w:val="17"/>
        </w:rPr>
        <w:t xml:space="preserve">Kraurosis vulvae    </w:t>
      </w:r>
    </w:p>
    <w:p>
      <w:r>
        <w:rPr>
          <w:rFonts w:ascii="Courier New" w:hAnsi="Courier New"/>
          <w:sz w:val="17"/>
        </w:rPr>
        <w:t xml:space="preserve">    geringen Grades (keine oder nur geringe Beschwerden)    0-10</w:t>
      </w:r>
    </w:p>
    <w:p>
      <w:r>
        <w:rPr>
          <w:rFonts w:ascii="Courier New" w:hAnsi="Courier New"/>
          <w:sz w:val="17"/>
        </w:rPr>
        <w:t xml:space="preserve">    mäßigen Grades (erhebliche Beschwerden, keine Sekundärveränderungen)    20-30</w:t>
      </w:r>
    </w:p>
    <w:p>
      <w:r>
        <w:rPr>
          <w:rFonts w:ascii="Courier New" w:hAnsi="Courier New"/>
          <w:sz w:val="17"/>
        </w:rPr>
        <w:t xml:space="preserve">    stärkeren Grades (starke Beschwerden, therapeutisch schwer beeinflussbare Sekundärveränderungen)    40</w:t>
      </w:r>
    </w:p>
    <w:p>
      <w:r>
        <w:rPr>
          <w:rFonts w:ascii="Courier New" w:hAnsi="Courier New"/>
          <w:sz w:val="17"/>
        </w:rPr>
        <w:t xml:space="preserve">Vollständige Entfernung der Vulva    40</w:t>
      </w:r>
    </w:p>
    <w:p>
      <w:r>
        <w:rPr>
          <w:rFonts w:ascii="Courier New" w:hAnsi="Courier New"/>
          <w:sz w:val="17"/>
        </w:rPr>
        <w:t xml:space="preserve">Nach Beseitigung eines malignen Scheidentumors ist in den ersten fünf Jahren eine Heilungsbewährung abzuwarten; GdS während dieser Zeit    </w:t>
      </w:r>
    </w:p>
    <w:p>
      <w:r>
        <w:rPr>
          <w:rFonts w:ascii="Courier New" w:hAnsi="Courier New"/>
          <w:sz w:val="17"/>
        </w:rPr>
        <w:t xml:space="preserve">    nach Beseitigung im Stadium T1 N0 M0    60</w:t>
      </w:r>
    </w:p>
    <w:p>
      <w:r>
        <w:rPr>
          <w:rFonts w:ascii="Courier New" w:hAnsi="Courier New"/>
          <w:sz w:val="17"/>
        </w:rPr>
        <w:t xml:space="preserve">    in höheren Stadien    80</w:t>
      </w:r>
    </w:p>
    <w:p>
      <w:r>
        <w:rPr>
          <w:rFonts w:ascii="Courier New" w:hAnsi="Courier New"/>
          <w:sz w:val="17"/>
        </w:rPr>
        <w:t xml:space="preserve">Nach Entfernung eines malignen Tumors der äußeren Geschlechtsteile ist in den ersten fünf Jahren eine Heilungsbewährung abzuwarten; GdS während dieser Zeit</w:t>
      </w:r>
    </w:p>
    <w:p>
      <w:r>
        <w:rPr>
          <w:rFonts w:ascii="Courier New" w:hAnsi="Courier New"/>
          <w:sz w:val="17"/>
        </w:rPr>
        <w:t xml:space="preserve">    nach Entfernung im Stadium (T1 bis T2) N0 M0    50</w:t>
      </w:r>
    </w:p>
    <w:p>
      <w:r>
        <w:rPr>
          <w:rFonts w:ascii="Courier New" w:hAnsi="Courier New"/>
          <w:sz w:val="17"/>
        </w:rPr>
        <w:t xml:space="preserve">    sonst    80</w:t>
      </w:r>
    </w:p>
    <w:p>
      <w:pPr>
        <w:ind w:left="420"/>
      </w:pPr>
      <w:r>
        <w:t xml:space="preserve">15. Stoffwechsel, innere Sekretion</w:t>
      </w:r>
    </w:p>
    <w:p>
      <w:r>
        <w:rPr>
          <w:rFonts w:ascii="Courier New" w:hAnsi="Courier New"/>
          <w:sz w:val="17"/>
        </w:rPr>
        <w:t xml:space="preserve">In diesem Abschnitt nicht erwähnte angeborene Stoffwechselstörungen sind analog und unter Berücksichtigung ihrer vielfältigen Auswirkungen zu beurteilen. Normabweichungen der Laborwerte bedingen für sich allein noch keinen GdS.</w:t>
      </w:r>
    </w:p>
    <w:p>
      <w:r>
        <w:rPr>
          <w:rFonts w:ascii="Courier New" w:hAnsi="Courier New"/>
          <w:sz w:val="17"/>
        </w:rPr>
        <w:t xml:space="preserve">15.1 Zuckerkrankheit (Diabetes mellitus)    </w:t>
      </w:r>
    </w:p>
    <w:p>
      <w:r>
        <w:rPr>
          <w:rFonts w:ascii="Courier New" w:hAnsi="Courier New"/>
          <w:sz w:val="17"/>
        </w:rPr>
        <w:t xml:space="preserve">Die an Diabetes erkrankten Menschen, deren Therapie regelhaft keine Hypoglykämie auslösen kann und die somit in der Lebensführung kaum beeinträchtigt sind, erleiden auch durch den Therapieaufwand keine Teilhabebeeinträchtigung, die die Feststellung eines GdS rechtfertigt. Der GdS beträgt 0.    </w:t>
      </w:r>
    </w:p>
    <w:p>
      <w:r>
        <w:rPr>
          <w:rFonts w:ascii="Courier New" w:hAnsi="Courier New"/>
          <w:sz w:val="17"/>
        </w:rPr>
        <w:t xml:space="preserve">Die an Diabetes erkrankten Menschen, deren Therapie eine Hypoglykämie auslösen kann und die durch Einschnitte in der Lebensführung beeinträchtigt sind, erleiden durch den Therapieaufwand eine signifikante Teilhabebeeinträchtigung. Der GdS beträgt 20.    </w:t>
      </w:r>
    </w:p>
    <w:p>
      <w:r>
        <w:rPr>
          <w:rFonts w:ascii="Courier New" w:hAnsi="Courier New"/>
          <w:sz w:val="17"/>
        </w:rPr>
        <w:t xml:space="preserve">Die an Diabetes erkrankten Menschen, deren Therapie eine Hypoglykämie auslösen kann, die mindestens einmal täglich eine dokumentierte Überprüfung des Blutzuckers selbst durchführen müssen und durch weitere Einschnitte in der Lebensführung beeinträchtigt sind, erleiden je nach Ausmaß des Therapieaufwands und der Güte der Stoffwechseleinstellung eine stärkere Teilhabebeeinträchtigung. Der GdS beträgt 30 bis 40.    </w:t>
      </w:r>
    </w:p>
    <w:p>
      <w:r>
        <w:rPr>
          <w:rFonts w:ascii="Courier New" w:hAnsi="Courier New"/>
          <w:sz w:val="17"/>
        </w:rPr>
        <w:t xml:space="preserve">Die an Diabetes erkrankten Menschen, die eine Insulintherapie mit täglich mindestens vier Insulininjektionen durchführen, wobei die Insulindosis in Abhängigkeit vom aktuellen Blutzucker, der folgenden Mahlzeit und der körperlichen Belastung selbständig variiert werden muss, und durch erhebliche Einschnitte gravierend in der Lebensführung beeinträchtigt sind, erleiden auf Grund dieses Therapieaufwands eine ausgeprägte Teilhabebeeinträchtigung. Die Blutzuckerselbstmessungen und Insulindosen (beziehungsweise Insulingaben über die Insulinpumpe) müssen dokumentiert sein. Der GdS beträgt 50.    </w:t>
      </w:r>
    </w:p>
    <w:p>
      <w:r>
        <w:rPr>
          <w:rFonts w:ascii="Courier New" w:hAnsi="Courier New"/>
          <w:sz w:val="17"/>
        </w:rPr>
        <w:t xml:space="preserve">Außergewöhnlich schwer regulierbare Stoffwechsellagen können jeweils höhere GdS-Werte bedingen.    </w:t>
      </w:r>
    </w:p>
    <w:p>
      <w:r>
        <w:rPr>
          <w:rFonts w:ascii="Courier New" w:hAnsi="Courier New"/>
          <w:sz w:val="17"/>
        </w:rPr>
        <w:t xml:space="preserve">15.2 Gicht    </w:t>
      </w:r>
    </w:p>
    <w:p>
      <w:r>
        <w:rPr>
          <w:rFonts w:ascii="Courier New" w:hAnsi="Courier New"/>
          <w:sz w:val="17"/>
        </w:rPr>
        <w:t xml:space="preserve">Bei der Beurteilung des GdS sind die Funktionseinschränkungen der betroffenen Gelenke, Schmerzen, Häufigkeit und Schwere der entzündlichen Schübe und eine Beteiligung der inneren Organe zu berücksichtigen.</w:t>
      </w:r>
    </w:p>
    <w:p>
      <w:r>
        <w:rPr>
          <w:rFonts w:ascii="Courier New" w:hAnsi="Courier New"/>
          <w:sz w:val="17"/>
        </w:rPr>
        <w:t xml:space="preserve">15.3 Fettstoffwechselkrankheit    </w:t>
      </w:r>
    </w:p>
    <w:p>
      <w:r>
        <w:rPr>
          <w:rFonts w:ascii="Courier New" w:hAnsi="Courier New"/>
          <w:sz w:val="17"/>
        </w:rPr>
        <w:t xml:space="preserve">Der GdS ist grundsätzlich abhängig von dem Ausmaß der Folgekrankheiten.Bei Notwendigkeit einer LDL-Apherese    30</w:t>
      </w:r>
    </w:p>
    <w:p>
      <w:r>
        <w:rPr>
          <w:rFonts w:ascii="Courier New" w:hAnsi="Courier New"/>
          <w:sz w:val="17"/>
        </w:rPr>
        <w:t xml:space="preserve">Alimentäre Fettsucht, Adipositas    </w:t>
      </w:r>
    </w:p>
    <w:p>
      <w:r>
        <w:rPr>
          <w:rFonts w:ascii="Courier New" w:hAnsi="Courier New"/>
          <w:sz w:val="17"/>
        </w:rPr>
        <w:t xml:space="preserve">Die Adipositas allein bedingt keinen GdS. Nur Folge- und Begleitschäden (insbesondere am kardiopulmonalen System oder am Stütz- und Bewegungsapparat) können die Annahme eines GdS begründen. Gleiches gilt für die besonderen funktionellen Auswirkungen einer Adipositas permagna.</w:t>
      </w:r>
    </w:p>
    <w:p>
      <w:r>
        <w:rPr>
          <w:rFonts w:ascii="Courier New" w:hAnsi="Courier New"/>
          <w:sz w:val="17"/>
        </w:rPr>
        <w:t xml:space="preserve">15.4 Phenylketonurie    </w:t>
      </w:r>
    </w:p>
    <w:p>
      <w:r>
        <w:rPr>
          <w:rFonts w:ascii="Courier New" w:hAnsi="Courier New"/>
          <w:sz w:val="17"/>
        </w:rPr>
        <w:t xml:space="preserve">ohne fassbare Folgeerscheinungen    </w:t>
      </w:r>
    </w:p>
    <w:p>
      <w:r>
        <w:rPr>
          <w:rFonts w:ascii="Courier New" w:hAnsi="Courier New"/>
          <w:sz w:val="17"/>
        </w:rPr>
        <w:t xml:space="preserve">    im Kindesalter bis zur Vollendung des 16. Lebensjahres    30</w:t>
      </w:r>
    </w:p>
    <w:p>
      <w:r>
        <w:rPr>
          <w:rFonts w:ascii="Courier New" w:hAnsi="Courier New"/>
          <w:sz w:val="17"/>
        </w:rPr>
        <w:t xml:space="preserve">    danach bei Notwendigkeit weiterer Diäteinnahme    10</w:t>
      </w:r>
    </w:p>
    <w:p>
      <w:r>
        <w:rPr>
          <w:rFonts w:ascii="Courier New" w:hAnsi="Courier New"/>
          <w:sz w:val="17"/>
        </w:rPr>
        <w:t xml:space="preserve">Beim Vorliegen eines Hirnschadens ist der GdS vor allem vom Ausmaß der geistigen Behinderung und weiterer Folgen (z. B. hirnorganische Anfälle) abhängig.    </w:t>
      </w:r>
    </w:p>
    <w:p>
      <w:r>
        <w:rPr>
          <w:rFonts w:ascii="Courier New" w:hAnsi="Courier New"/>
          <w:sz w:val="17"/>
        </w:rPr>
        <w:t xml:space="preserve">15.5 Mukoviszidose (zystische Fibrose)    </w:t>
      </w:r>
    </w:p>
    <w:p>
      <w:r>
        <w:rPr>
          <w:rFonts w:ascii="Courier New" w:hAnsi="Courier New"/>
          <w:sz w:val="17"/>
        </w:rPr>
        <w:t xml:space="preserve">    unter Therapie Aktivitäten, Gedeihen und Ernährung altersgemäß    20</w:t>
      </w:r>
    </w:p>
    <w:p>
      <w:r>
        <w:rPr>
          <w:rFonts w:ascii="Courier New" w:hAnsi="Courier New"/>
          <w:sz w:val="17"/>
        </w:rPr>
        <w:t xml:space="preserve">    unter Therapie Aktivitäten und Lungenfunktion leicht eingeschränkt, Gedeihen und Ernährung noch altersgemäß    30-40</w:t>
      </w:r>
    </w:p>
    <w:p>
      <w:r>
        <w:rPr>
          <w:rFonts w:ascii="Courier New" w:hAnsi="Courier New"/>
          <w:sz w:val="17"/>
        </w:rPr>
        <w:t xml:space="preserve">    Aktivitäten und Lungenfunktion deutlich eingeschränkt, häufig Gedeih- und Entwicklungsstörungen, Schulbesuch und Erwerbstätigkeit in der Regel noch möglich    50-70</w:t>
      </w:r>
    </w:p>
    <w:p>
      <w:r>
        <w:rPr>
          <w:rFonts w:ascii="Courier New" w:hAnsi="Courier New"/>
          <w:sz w:val="17"/>
        </w:rPr>
        <w:t xml:space="preserve">    schwere bis schwerste Einschränkung der Aktivitäten, der Lungenfunktion und des Ernährungszustandes    80-100</w:t>
      </w:r>
    </w:p>
    <w:p>
      <w:r>
        <w:rPr>
          <w:rFonts w:ascii="Courier New" w:hAnsi="Courier New"/>
          <w:sz w:val="17"/>
        </w:rPr>
        <w:t xml:space="preserve">    Folgekrankheiten (z. B. Diabetes mellitus, Impotenz, Leberzirrhose) sind ggf. zusätzlich zu berücksichtigen.    </w:t>
      </w:r>
    </w:p>
    <w:p>
      <w:r>
        <w:rPr>
          <w:rFonts w:ascii="Courier New" w:hAnsi="Courier New"/>
          <w:sz w:val="17"/>
        </w:rPr>
        <w:t xml:space="preserve">15.6 Schilddrüsenkrankheiten    </w:t>
      </w:r>
    </w:p>
    <w:p>
      <w:r>
        <w:rPr>
          <w:rFonts w:ascii="Courier New" w:hAnsi="Courier New"/>
          <w:sz w:val="17"/>
        </w:rPr>
        <w:t xml:space="preserve">Schilddrüsenfunktionsstörungen sind gut behandelbar, so dass in der Regel anhaltende Beeinträchtigungen nicht zu erwarten sind. Selten auftretende Organkomplikationen (z. B. Exophthalmus, Trachealstenose) sind gesondert zu beurteilen. Bei der nicht operativ behandelten Struma richtet sich der GdS nach den funktionellen Auswirkungen.</w:t>
      </w:r>
    </w:p>
    <w:p>
      <w:r>
        <w:rPr>
          <w:rFonts w:ascii="Courier New" w:hAnsi="Courier New"/>
          <w:sz w:val="17"/>
        </w:rPr>
        <w:t xml:space="preserve">Nach Entfernung eines malignen Schilddrüsentumors ist in den ersten fünf Jahren eine Heilungsbewährung abzuwarten; GdS während dieser Zeit    </w:t>
      </w:r>
    </w:p>
    <w:p>
      <w:r>
        <w:rPr>
          <w:rFonts w:ascii="Courier New" w:hAnsi="Courier New"/>
          <w:sz w:val="17"/>
        </w:rPr>
        <w:t xml:space="preserve">    nach Entfernung eines papillären oder follikulären Tumors, ohne Lymphknotenbefall    50</w:t>
      </w:r>
    </w:p>
    <w:p>
      <w:r>
        <w:rPr>
          <w:rFonts w:ascii="Courier New" w:hAnsi="Courier New"/>
          <w:sz w:val="17"/>
        </w:rPr>
        <w:t xml:space="preserve">    sonst    80</w:t>
      </w:r>
    </w:p>
    <w:p>
      <w:r>
        <w:rPr>
          <w:rFonts w:ascii="Courier New" w:hAnsi="Courier New"/>
          <w:sz w:val="17"/>
        </w:rPr>
        <w:t xml:space="preserve">Bedingt der nach der Entfernung verbliebene Organschaden einen GdS von 50 oder mehr, ist der während der Heilungsbewährung anzusetzende GdS entsprechend höher zu bewerten.</w:t>
      </w:r>
    </w:p>
    <w:p>
      <w:r>
        <w:rPr>
          <w:rFonts w:ascii="Courier New" w:hAnsi="Courier New"/>
          <w:sz w:val="17"/>
        </w:rPr>
        <w:t xml:space="preserve">Tetanie    </w:t>
      </w:r>
    </w:p>
    <w:p>
      <w:r>
        <w:rPr>
          <w:rFonts w:ascii="Courier New" w:hAnsi="Courier New"/>
          <w:sz w:val="17"/>
        </w:rPr>
        <w:t xml:space="preserve">Sie ist gut behandelbar, so dass in der Regel dauernde Beeinträchtigungen nicht zu erwarten sind.</w:t>
      </w:r>
    </w:p>
    <w:p>
      <w:r>
        <w:rPr>
          <w:rFonts w:ascii="Courier New" w:hAnsi="Courier New"/>
          <w:sz w:val="17"/>
        </w:rPr>
        <w:t xml:space="preserve">15.7 Chronische Nebennierenrindeninsuffizienz (Addison-Syndrom)    </w:t>
      </w:r>
    </w:p>
    <w:p>
      <w:r>
        <w:rPr>
          <w:rFonts w:ascii="Courier New" w:hAnsi="Courier New"/>
          <w:sz w:val="17"/>
        </w:rPr>
        <w:t xml:space="preserve">Sie ist gut behandelbar, so dass in der Regel dauernde Beeinträchtigungen nicht zu erwarten sind. Selten auftretende Funktionsstörungen sind analogen funktionellen Beeinträchtigungen (z. B. orthostatische Fehlregulation) entsprechend zu beurteilen.</w:t>
      </w:r>
    </w:p>
    <w:p>
      <w:r>
        <w:rPr>
          <w:rFonts w:ascii="Courier New" w:hAnsi="Courier New"/>
          <w:sz w:val="17"/>
        </w:rPr>
        <w:t xml:space="preserve">Cushing-Syndrom    </w:t>
      </w:r>
    </w:p>
    <w:p>
      <w:r>
        <w:rPr>
          <w:rFonts w:ascii="Courier New" w:hAnsi="Courier New"/>
          <w:sz w:val="17"/>
        </w:rPr>
        <w:t xml:space="preserve">Der GdS wird bestimmt von der Muskelschwäche und den Auswirkungen an den verschiedenen Organsystemen (Hypertonie, Herzinsuffizienz, Diabetes mellitus, Osteoporose, psychische Veränderungen).</w:t>
      </w:r>
    </w:p>
    <w:p>
      <w:r>
        <w:rPr>
          <w:rFonts w:ascii="Courier New" w:hAnsi="Courier New"/>
          <w:sz w:val="17"/>
        </w:rPr>
        <w:t xml:space="preserve">15.8 Porphyrien    </w:t>
      </w:r>
    </w:p>
    <w:p>
      <w:r>
        <w:rPr>
          <w:rFonts w:ascii="Courier New" w:hAnsi="Courier New"/>
          <w:sz w:val="17"/>
        </w:rPr>
        <w:t xml:space="preserve">Erythropoetische Porphyrie (Günther-Krankheit)    100</w:t>
      </w:r>
    </w:p>
    <w:p>
      <w:r>
        <w:rPr>
          <w:rFonts w:ascii="Courier New" w:hAnsi="Courier New"/>
          <w:sz w:val="17"/>
        </w:rPr>
        <w:t xml:space="preserve">Hepatische Porphyrien    </w:t>
      </w:r>
    </w:p>
    <w:p>
      <w:r>
        <w:rPr>
          <w:rFonts w:ascii="Courier New" w:hAnsi="Courier New"/>
          <w:sz w:val="17"/>
        </w:rPr>
        <w:t xml:space="preserve">    akut-intermittierende Porphyrie    30</w:t>
      </w:r>
    </w:p>
    <w:p>
      <w:r>
        <w:rPr>
          <w:rFonts w:ascii="Courier New" w:hAnsi="Courier New"/>
          <w:sz w:val="17"/>
        </w:rPr>
        <w:t xml:space="preserve">    Porphyria cutanea tarda ohne wesentliche Beschwerden    10</w:t>
      </w:r>
    </w:p>
    <w:p>
      <w:r>
        <w:rPr>
          <w:rFonts w:ascii="Courier New" w:hAnsi="Courier New"/>
          <w:sz w:val="17"/>
        </w:rPr>
        <w:t xml:space="preserve">Organkomplikationen sind jeweils zusätzlich zu berücksichtigen.    </w:t>
      </w:r>
    </w:p>
    <w:p>
      <w:pPr>
        <w:ind w:left="420"/>
      </w:pPr>
      <w:r>
        <w:t xml:space="preserve">16. Blut, blutbildende Organe, Immunsystem</w:t>
      </w:r>
    </w:p>
    <w:p>
      <w:r>
        <w:rPr>
          <w:rFonts w:ascii="Courier New" w:hAnsi="Courier New"/>
          <w:sz w:val="17"/>
        </w:rPr>
        <w:t xml:space="preserve">Die Höhe des GdS bei Krankheiten des Blutes, der blutbildenden Organe und des Immunsystems richtet sich nach der Schwere der hämatologischen Veränderungen, nach den Organfunktionsstörungen, nach den Rückwirkungen auf andere Organe, nach der Auswirkung auf den Allgemeinzustand und der Häufigkeit von Infektionen.</w:t>
      </w:r>
    </w:p>
    <w:p>
      <w:r>
        <w:rPr>
          <w:rFonts w:ascii="Courier New" w:hAnsi="Courier New"/>
          <w:sz w:val="17"/>
        </w:rPr>
        <w:t xml:space="preserve">16.1 Verlust der Milz    </w:t>
      </w:r>
    </w:p>
    <w:p>
      <w:r>
        <w:rPr>
          <w:rFonts w:ascii="Courier New" w:hAnsi="Courier New"/>
          <w:sz w:val="17"/>
        </w:rPr>
        <w:t xml:space="preserve">    bei Verlust im frühen Kindesalter, dann bis zur Vollendung des 8. Lebensjahres    20</w:t>
      </w:r>
    </w:p>
    <w:p>
      <w:r>
        <w:rPr>
          <w:rFonts w:ascii="Courier New" w:hAnsi="Courier New"/>
          <w:sz w:val="17"/>
        </w:rPr>
        <w:t xml:space="preserve">    danach oder bei späterem Verlust    10</w:t>
      </w:r>
    </w:p>
    <w:p>
      <w:r>
        <w:rPr>
          <w:rFonts w:ascii="Courier New" w:hAnsi="Courier New"/>
          <w:sz w:val="17"/>
        </w:rPr>
        <w:t xml:space="preserve">16.2 Hodgkin-Krankheit    </w:t>
      </w:r>
    </w:p>
    <w:p>
      <w:r>
        <w:rPr>
          <w:rFonts w:ascii="Courier New" w:hAnsi="Courier New"/>
          <w:sz w:val="17"/>
        </w:rPr>
        <w:t xml:space="preserve">    im Stadium I bis IIIA    </w:t>
      </w:r>
    </w:p>
    <w:p>
      <w:r>
        <w:rPr>
          <w:rFonts w:ascii="Courier New" w:hAnsi="Courier New"/>
          <w:sz w:val="17"/>
        </w:rPr>
        <w:t xml:space="preserve">        bei mehr als sechs Monate andauernder Therapie, bis zum Ende der Intensiv-Therapie je nach Auswirkung auf den Allgemeinzustand    60-100</w:t>
      </w:r>
    </w:p>
    <w:p>
      <w:r>
        <w:rPr>
          <w:rFonts w:ascii="Courier New" w:hAnsi="Courier New"/>
          <w:sz w:val="17"/>
        </w:rPr>
        <w:t xml:space="preserve">        nach Vollremission GdS für die Dauer von drei Jahren (Heilungsbewährung)    50</w:t>
      </w:r>
    </w:p>
    <w:p>
      <w:r>
        <w:rPr>
          <w:rFonts w:ascii="Courier New" w:hAnsi="Courier New"/>
          <w:sz w:val="17"/>
        </w:rPr>
        <w:t xml:space="preserve">    im Stadium IIIB und IV    </w:t>
      </w:r>
    </w:p>
    <w:p>
      <w:r>
        <w:rPr>
          <w:rFonts w:ascii="Courier New" w:hAnsi="Courier New"/>
          <w:sz w:val="17"/>
        </w:rPr>
        <w:t xml:space="preserve">        bis zum Ende der Intensiv-Therapie    100</w:t>
      </w:r>
    </w:p>
    <w:p>
      <w:r>
        <w:rPr>
          <w:rFonts w:ascii="Courier New" w:hAnsi="Courier New"/>
          <w:sz w:val="17"/>
        </w:rPr>
        <w:t xml:space="preserve">        nach Vollremission GdS für die Dauer von drei Jahren (Heilungsbewährung)    60</w:t>
      </w:r>
    </w:p>
    <w:p>
      <w:r>
        <w:rPr>
          <w:rFonts w:ascii="Courier New" w:hAnsi="Courier New"/>
          <w:sz w:val="17"/>
        </w:rPr>
        <w:t xml:space="preserve">16.3 Non-Hodgkin-Lymphome    </w:t>
      </w:r>
    </w:p>
    <w:p>
      <w:r>
        <w:rPr>
          <w:rFonts w:ascii="Courier New" w:hAnsi="Courier New"/>
          <w:sz w:val="17"/>
        </w:rPr>
        <w:t xml:space="preserve">16.3.1 Chronische lymphatische Leukämie und andere generalisierte niedrigmaligne Non-Hodgkin-Lymphome    </w:t>
      </w:r>
    </w:p>
    <w:p>
      <w:r>
        <w:rPr>
          <w:rFonts w:ascii="Courier New" w:hAnsi="Courier New"/>
          <w:sz w:val="17"/>
        </w:rPr>
        <w:t xml:space="preserve">    mit geringen Auswirkungen (keine wesentlichen Beschwerden, keine Allgemeinsymptome, keine Behandlungsbedürftigkeit, keine wesentliche Progredienz)    30-40</w:t>
      </w:r>
    </w:p>
    <w:p>
      <w:r>
        <w:rPr>
          <w:rFonts w:ascii="Courier New" w:hAnsi="Courier New"/>
          <w:sz w:val="17"/>
        </w:rPr>
        <w:t xml:space="preserve">    mit mäßigen Auswirkungen (Behandlungsbedürftigkeit)    50-70</w:t>
      </w:r>
    </w:p>
    <w:p>
      <w:r>
        <w:rPr>
          <w:rFonts w:ascii="Courier New" w:hAnsi="Courier New"/>
          <w:sz w:val="17"/>
        </w:rPr>
        <w:t xml:space="preserve">    mit starken Auswirkungen, starke Progredienz (z. B. schwere Anämie, ausgeprägte Thrombozytopenie, rezidivierende Infektionen, starke Milzvergrößerung)    80-100</w:t>
      </w:r>
    </w:p>
    <w:p>
      <w:r>
        <w:rPr>
          <w:rFonts w:ascii="Courier New" w:hAnsi="Courier New"/>
          <w:sz w:val="17"/>
        </w:rPr>
        <w:t xml:space="preserve">Lokalisierte niedrigmaligne Non-Hodgkin-Lymphome    </w:t>
      </w:r>
    </w:p>
    <w:p>
      <w:r>
        <w:rPr>
          <w:rFonts w:ascii="Courier New" w:hAnsi="Courier New"/>
          <w:sz w:val="17"/>
        </w:rPr>
        <w:t xml:space="preserve">    nach Vollremission (Beseitigung des Tumors) für die Dauer von drei Jahren (Heilungsbewährung)    50</w:t>
      </w:r>
    </w:p>
    <w:p>
      <w:r>
        <w:rPr>
          <w:rFonts w:ascii="Courier New" w:hAnsi="Courier New"/>
          <w:sz w:val="17"/>
        </w:rPr>
        <w:t xml:space="preserve">16.3.2 Hochmaligne Non-Hodgkin-Lymphome    </w:t>
      </w:r>
    </w:p>
    <w:p>
      <w:r>
        <w:rPr>
          <w:rFonts w:ascii="Courier New" w:hAnsi="Courier New"/>
          <w:sz w:val="17"/>
        </w:rPr>
        <w:t xml:space="preserve">    bis zum Ende der Intensiv-Therapie    100</w:t>
      </w:r>
    </w:p>
    <w:p>
      <w:r>
        <w:rPr>
          <w:rFonts w:ascii="Courier New" w:hAnsi="Courier New"/>
          <w:sz w:val="17"/>
        </w:rPr>
        <w:t xml:space="preserve">    nach Vollremission GdS für die Dauer von drei Jahren (Heilungsbewährung)    80</w:t>
      </w:r>
    </w:p>
    <w:p>
      <w:r>
        <w:rPr>
          <w:rFonts w:ascii="Courier New" w:hAnsi="Courier New"/>
          <w:sz w:val="17"/>
        </w:rPr>
        <w:t xml:space="preserve">16.4 Plasmozytom (Myelom)    </w:t>
      </w:r>
    </w:p>
    <w:p>
      <w:r>
        <w:rPr>
          <w:rFonts w:ascii="Courier New" w:hAnsi="Courier New"/>
          <w:sz w:val="17"/>
        </w:rPr>
        <w:t xml:space="preserve">    mit geringen Auswirkungen (keine wesentliche Auswirkung auf den Allgemeinzustand, keine Behandlungsbedürftigkeit, ohne Beschwerden, keine wesentliche Progredienz)    30-40</w:t>
      </w:r>
    </w:p>
    <w:p>
      <w:r>
        <w:rPr>
          <w:rFonts w:ascii="Courier New" w:hAnsi="Courier New"/>
          <w:sz w:val="17"/>
        </w:rPr>
        <w:t xml:space="preserve">    mit mäßigen Auswirkungen (Behandlungsbedürftigkeit)    50-70</w:t>
      </w:r>
    </w:p>
    <w:p>
      <w:r>
        <w:rPr>
          <w:rFonts w:ascii="Courier New" w:hAnsi="Courier New"/>
          <w:sz w:val="17"/>
        </w:rPr>
        <w:t xml:space="preserve">    mit starken Auswirkungen (z. B. schwere Anämie, starke Schmerzen, Nierenfunktionseinschränkung)    80-100</w:t>
      </w:r>
    </w:p>
    <w:p>
      <w:r>
        <w:rPr>
          <w:rFonts w:ascii="Courier New" w:hAnsi="Courier New"/>
          <w:sz w:val="17"/>
        </w:rPr>
        <w:t xml:space="preserve">16.5 Myeloproliferative und myelodysplastische/myeloproliferative Neoplasien    </w:t>
      </w:r>
    </w:p>
    <w:p>
      <w:r>
        <w:rPr>
          <w:rFonts w:ascii="Courier New" w:hAnsi="Courier New"/>
          <w:sz w:val="17"/>
        </w:rPr>
        <w:t xml:space="preserve">    Auswirkungen auf andere Organsysteme sind zusätzlich zu bewerten.    </w:t>
      </w:r>
    </w:p>
    <w:p>
      <w:r>
        <w:rPr>
          <w:rFonts w:ascii="Courier New" w:hAnsi="Courier New"/>
          <w:sz w:val="17"/>
        </w:rPr>
        <w:t xml:space="preserve">16.5.1 Chronische myeloische Leukämie, BCR/ABL-positiv    </w:t>
      </w:r>
    </w:p>
    <w:p>
      <w:r>
        <w:rPr>
          <w:rFonts w:ascii="Courier New" w:hAnsi="Courier New"/>
          <w:sz w:val="17"/>
        </w:rPr>
        <w:t xml:space="preserve">    Im Stadium der kompletten hämatologischen, kompletten zytogenetischen und molekularen Remission beträgt der GdS 10 – 20.    </w:t>
      </w:r>
    </w:p>
    <w:p>
      <w:r>
        <w:rPr>
          <w:rFonts w:ascii="Courier New" w:hAnsi="Courier New"/>
          <w:sz w:val="17"/>
        </w:rPr>
        <w:t xml:space="preserve">    Im Stadium der kompletten hämatologischen Remission je nach Ausmaß der zytogenetischen Remission beträgt der GdS 30 – 40.    </w:t>
      </w:r>
    </w:p>
    <w:p>
      <w:r>
        <w:rPr>
          <w:rFonts w:ascii="Courier New" w:hAnsi="Courier New"/>
          <w:sz w:val="17"/>
        </w:rPr>
        <w:t xml:space="preserve">    Im chronischen Stadium, auch bei Krankheitsbeginn (im ersten Jahr der Therapie), bei fehlender Remission oder bei Rezidiv je nach Organvergrößerung, Anämie, Thrombozytenzahl und in Abhängigkeit von der Intensität der Therapie beträgt der GdS 50 – 80.    </w:t>
      </w:r>
    </w:p>
    <w:p>
      <w:r>
        <w:rPr>
          <w:rFonts w:ascii="Courier New" w:hAnsi="Courier New"/>
          <w:sz w:val="17"/>
        </w:rPr>
        <w:t xml:space="preserve">    In der akzelerierten Phase oder in der Blastenkrise beträgt der GdS 100.    </w:t>
      </w:r>
    </w:p>
    <w:p>
      <w:r>
        <w:rPr>
          <w:rFonts w:ascii="Courier New" w:hAnsi="Courier New"/>
          <w:sz w:val="17"/>
        </w:rPr>
        <w:t xml:space="preserve">16.5.2 Atypische chronische myeloische Leukämie, BCR/ABL-negativ; chronische Neutrophilen-Leukämie; chronische myelomonozytäre Leukämie    </w:t>
      </w:r>
    </w:p>
    <w:p>
      <w:r>
        <w:rPr>
          <w:rFonts w:ascii="Courier New" w:hAnsi="Courier New"/>
          <w:sz w:val="17"/>
        </w:rPr>
        <w:t xml:space="preserve">    Im Stadium der kompletten hämatologischen Remission beträgt der GdS 40.    </w:t>
      </w:r>
    </w:p>
    <w:p>
      <w:r>
        <w:rPr>
          <w:rFonts w:ascii="Courier New" w:hAnsi="Courier New"/>
          <w:sz w:val="17"/>
        </w:rPr>
        <w:t xml:space="preserve">    Im chronischen Stadium, auch bei Krankheitsbeginn (im ersten Jahr der Therapie), ist die Teilhabebeeinträchtigung insbesondere abhängig vom Ausmaß der Organvergrößerung und Anämie, der Thrombozytenzahl und der Intensität der Therapie. Der GdS beträgt 50 – 80.    </w:t>
      </w:r>
    </w:p>
    <w:p>
      <w:r>
        <w:rPr>
          <w:rFonts w:ascii="Courier New" w:hAnsi="Courier New"/>
          <w:sz w:val="17"/>
        </w:rPr>
        <w:t xml:space="preserve">    In der akzelerierten Phase oder in der Blastenkrise beträgt der GdS 100.    </w:t>
      </w:r>
    </w:p>
    <w:p>
      <w:r>
        <w:rPr>
          <w:rFonts w:ascii="Courier New" w:hAnsi="Courier New"/>
          <w:sz w:val="17"/>
        </w:rPr>
        <w:t xml:space="preserve">16.5.3 Primäre Myelofibrose (Chronische idiopathische Myelofibrose)    </w:t>
      </w:r>
    </w:p>
    <w:p>
      <w:r>
        <w:rPr>
          <w:rFonts w:ascii="Courier New" w:hAnsi="Courier New"/>
          <w:sz w:val="17"/>
        </w:rPr>
        <w:t xml:space="preserve">    Bei geringen Auswirkungen (keine Behandlungsbedürftigkeit) beträgt der GdS 10 – 20.    </w:t>
      </w:r>
    </w:p>
    <w:p>
      <w:r>
        <w:rPr>
          <w:rFonts w:ascii="Courier New" w:hAnsi="Courier New"/>
          <w:sz w:val="17"/>
        </w:rPr>
        <w:t xml:space="preserve">    Bei mäßigen Auswirkungen (Behandlungsbedürftigkeit) beträgt der GdS 30 – 40.    </w:t>
      </w:r>
    </w:p>
    <w:p>
      <w:r>
        <w:rPr>
          <w:rFonts w:ascii="Courier New" w:hAnsi="Courier New"/>
          <w:sz w:val="17"/>
        </w:rPr>
        <w:t xml:space="preserve">    Bei stärkeren Auswirkungen (insbesondere mäßige Anämie, geringe Thrombozytopenie, ausgeprägte Organomegalie) beträgt der GdS 50 – 70.    </w:t>
      </w:r>
    </w:p>
    <w:p>
      <w:r>
        <w:rPr>
          <w:rFonts w:ascii="Courier New" w:hAnsi="Courier New"/>
          <w:sz w:val="17"/>
        </w:rPr>
        <w:t xml:space="preserve">    Bei starken Auswirkungen (insbesondere schwere Anämie, ausgeprägte Thrombozytopenie, exzessive Organomegalie) beträgt der GdS 80 – 100.    </w:t>
      </w:r>
    </w:p>
    <w:p>
      <w:r>
        <w:rPr>
          <w:rFonts w:ascii="Courier New" w:hAnsi="Courier New"/>
          <w:sz w:val="17"/>
        </w:rPr>
        <w:t xml:space="preserve">16.5.4 Chronische Eosinophilen-Leukämie/Hypereosinophilie-Syndrom    </w:t>
      </w:r>
    </w:p>
    <w:p>
      <w:r>
        <w:rPr>
          <w:rFonts w:ascii="Courier New" w:hAnsi="Courier New"/>
          <w:sz w:val="17"/>
        </w:rPr>
        <w:t xml:space="preserve">    Die Teilhabebeeinträchtigung ist insbesondere abhängig vom Ausmaß der Organomegalie, Hautbeteiligung, Blutbildveränderungen und Nebenwirkungen der Therapie. Der GdS beträgt mindestens 50.    </w:t>
      </w:r>
    </w:p>
    <w:p>
      <w:r>
        <w:rPr>
          <w:rFonts w:ascii="Courier New" w:hAnsi="Courier New"/>
          <w:sz w:val="17"/>
        </w:rPr>
        <w:t xml:space="preserve">16.5.5 Polycythaemia vera    </w:t>
      </w:r>
    </w:p>
    <w:p>
      <w:r>
        <w:rPr>
          <w:rFonts w:ascii="Courier New" w:hAnsi="Courier New"/>
          <w:sz w:val="17"/>
        </w:rPr>
        <w:t xml:space="preserve">    Bei Behandlungsbedürftigkeit –mit regelmäßigen Aderlässen. Der GdS beträgt 10.–mit zytoreduktiver Therapie ist die Teilhabebeeinträchtigung insbesondere abhängig vom Ausmaß der Nebenwirkungen der Therapie. Der GdS beträgt 30 – 40.    </w:t>
      </w:r>
    </w:p>
    <w:p>
      <w:r>
        <w:rPr>
          <w:rFonts w:ascii="Courier New" w:hAnsi="Courier New"/>
          <w:sz w:val="17"/>
        </w:rPr>
        <w:t xml:space="preserve">    Übergänge zu anderen myeloproliferativen Erkrankungen sind analog zu diesen zu bewerten.    </w:t>
      </w:r>
    </w:p>
    <w:p>
      <w:r>
        <w:rPr>
          <w:rFonts w:ascii="Courier New" w:hAnsi="Courier New"/>
          <w:sz w:val="17"/>
        </w:rPr>
        <w:t xml:space="preserve">16.5.6 Essentielle Thrombozythämie    </w:t>
      </w:r>
    </w:p>
    <w:p>
      <w:r>
        <w:rPr>
          <w:rFonts w:ascii="Courier New" w:hAnsi="Courier New"/>
          <w:sz w:val="17"/>
        </w:rPr>
        <w:t xml:space="preserve">    Bei Behandlungsbedürftigkeit –mit Thrombozytenaggregationshemmern. Der GdS beträgt 10.–mit zytoreduktiver Therapie ist die Teilhabebeeinträchtigung insbesondere abhängig vom Ausmaß der Nebenwirkungen der Therapie. Der GdS beträgt 30 – 40.    </w:t>
      </w:r>
    </w:p>
    <w:p>
      <w:r>
        <w:rPr>
          <w:rFonts w:ascii="Courier New" w:hAnsi="Courier New"/>
          <w:sz w:val="17"/>
        </w:rPr>
        <w:t xml:space="preserve">    Übergänge zu anderen myeloproliferativen Erkrankungen sind analog zu diesen zu bewerten.    </w:t>
      </w:r>
    </w:p>
    <w:p>
      <w:r>
        <w:rPr>
          <w:rFonts w:ascii="Courier New" w:hAnsi="Courier New"/>
          <w:sz w:val="17"/>
        </w:rPr>
        <w:t xml:space="preserve">16.5.7 Die juvenile myelomonozytäre Leukämie ist analog zur akuten myeloischen Leukämie zu bewerten.    </w:t>
      </w:r>
    </w:p>
    <w:p>
      <w:r>
        <w:rPr>
          <w:rFonts w:ascii="Courier New" w:hAnsi="Courier New"/>
          <w:sz w:val="17"/>
        </w:rPr>
        <w:t xml:space="preserve">16.6 Akute Leukämien    </w:t>
      </w:r>
    </w:p>
    <w:p>
      <w:r>
        <w:rPr>
          <w:rFonts w:ascii="Courier New" w:hAnsi="Courier New"/>
          <w:sz w:val="17"/>
        </w:rPr>
        <w:t xml:space="preserve">    Im ersten Jahr nach Diagnosestellung (Erstdiagnose oder Rezidiv; insbesondere während der Induktionstherapie, Konsolidierungstherapie, Erhaltungstherapie) beträgt der GdS 100.Nach dem ersten Jahr–bei unvollständiger klinischer Remission: Der GdS beträgt weiterhin 100,–bei kompletter klinischer Remission unabhängig von der durchgeführten Therapie: Der GdS beträgt 80 für die Dauer von drei Jahren (Heilungsbewährung).    </w:t>
      </w:r>
    </w:p>
    <w:p>
      <w:r>
        <w:rPr>
          <w:rFonts w:ascii="Courier New" w:hAnsi="Courier New"/>
          <w:sz w:val="17"/>
        </w:rPr>
        <w:t xml:space="preserve">    Danach ist der GdS nach den verbliebenen Auswirkungen (insbesondere chronische Müdigkeit, Sterilität, Neuropathien, Beeinträchtigung der Entwicklung und kognitiver Funktionen) zu bewerten.    </w:t>
      </w:r>
    </w:p>
    <w:p>
      <w:r>
        <w:rPr>
          <w:rFonts w:ascii="Courier New" w:hAnsi="Courier New"/>
          <w:sz w:val="17"/>
        </w:rPr>
        <w:t xml:space="preserve">16.7 Myelodysplastische Syndrome    </w:t>
      </w:r>
    </w:p>
    <w:p>
      <w:r>
        <w:rPr>
          <w:rFonts w:ascii="Courier New" w:hAnsi="Courier New"/>
          <w:sz w:val="17"/>
        </w:rPr>
        <w:t xml:space="preserve">    mit geringen Auswirkungen (ausgeglichen und ohne wesentliche Allgemeinstörungen)    10-20</w:t>
      </w:r>
    </w:p>
    <w:p>
      <w:r>
        <w:rPr>
          <w:rFonts w:ascii="Courier New" w:hAnsi="Courier New"/>
          <w:sz w:val="17"/>
        </w:rPr>
        <w:t xml:space="preserve">    mit mäßigen Auswirkungen (z. B. gelegentliche Transfusionen)    30-40</w:t>
      </w:r>
    </w:p>
    <w:p>
      <w:r>
        <w:rPr>
          <w:rFonts w:ascii="Courier New" w:hAnsi="Courier New"/>
          <w:sz w:val="17"/>
        </w:rPr>
        <w:t xml:space="preserve">    mit stärkeren Auswirkungen (z. B. andauernde Transfusionsbedürftigkeit, rezidivierende Infektionen)    50-80</w:t>
      </w:r>
    </w:p>
    <w:p>
      <w:r>
        <w:rPr>
          <w:rFonts w:ascii="Courier New" w:hAnsi="Courier New"/>
          <w:sz w:val="17"/>
        </w:rPr>
        <w:t xml:space="preserve">    mit starken Auswirkungen (z. B. andauernde Transfusionsbedürftigkeit, häufige Infektionen, Blutungsneigung, leukämische Transformation)    100</w:t>
      </w:r>
    </w:p>
    <w:p>
      <w:r>
        <w:rPr>
          <w:rFonts w:ascii="Courier New" w:hAnsi="Courier New"/>
          <w:sz w:val="17"/>
        </w:rPr>
        <w:t xml:space="preserve">Aplastische Anämie (auch Panmyelopathie), Agranulozytose    </w:t>
      </w:r>
    </w:p>
    <w:p>
      <w:r>
        <w:rPr>
          <w:rFonts w:ascii="Courier New" w:hAnsi="Courier New"/>
          <w:sz w:val="17"/>
        </w:rPr>
        <w:t xml:space="preserve">    Der GdS bei aplastischer Anämie oder Agranulozytose ist auch nach Therapie analog zu den myelodysplastischen Syndromen zu bewerten.    </w:t>
      </w:r>
    </w:p>
    <w:p>
      <w:r>
        <w:rPr>
          <w:rFonts w:ascii="Courier New" w:hAnsi="Courier New"/>
          <w:sz w:val="17"/>
        </w:rPr>
        <w:t xml:space="preserve">16.8 Knochenmark- und Stammzelltransplantation    </w:t>
      </w:r>
    </w:p>
    <w:p>
      <w:r>
        <w:rPr>
          <w:rFonts w:ascii="Courier New" w:hAnsi="Courier New"/>
          <w:sz w:val="17"/>
        </w:rPr>
        <w:t xml:space="preserve">    Nach autologer Knochenmark- oder Blutstammzelltransplantation ist der GdS entsprechend der Grundkrankheit zu beurteilen.    </w:t>
      </w:r>
    </w:p>
    <w:p>
      <w:r>
        <w:rPr>
          <w:rFonts w:ascii="Courier New" w:hAnsi="Courier New"/>
          <w:sz w:val="17"/>
        </w:rPr>
        <w:t xml:space="preserve">    Nach allogener Knochenmarktransplantation für die Dauer von drei Jahren (Heilungsbewährung)    100</w:t>
      </w:r>
    </w:p>
    <w:p>
      <w:r>
        <w:rPr>
          <w:rFonts w:ascii="Courier New" w:hAnsi="Courier New"/>
          <w:sz w:val="17"/>
        </w:rPr>
        <w:t xml:space="preserve">Danach ist der GdS nach den verbliebenen Auswirkungen und dem eventuellen Organschaden, jedoch nicht niedriger als 30, zu bewerten.    </w:t>
      </w:r>
    </w:p>
    <w:p>
      <w:r>
        <w:rPr>
          <w:rFonts w:ascii="Courier New" w:hAnsi="Courier New"/>
          <w:sz w:val="17"/>
        </w:rPr>
        <w:t xml:space="preserve">16.9 Anämien    </w:t>
      </w:r>
    </w:p>
    <w:p>
      <w:r>
        <w:rPr>
          <w:rFonts w:ascii="Courier New" w:hAnsi="Courier New"/>
          <w:sz w:val="17"/>
        </w:rPr>
        <w:t xml:space="preserve">Symptomatische Anämien (z. B. Eisenmangelanämie, vitaminabhängige Anämien) sind in der Regel gut behandelbar und nur vorübergehender Natur.    </w:t>
      </w:r>
    </w:p>
    <w:p>
      <w:r>
        <w:rPr>
          <w:rFonts w:ascii="Courier New" w:hAnsi="Courier New"/>
          <w:sz w:val="17"/>
        </w:rPr>
        <w:t xml:space="preserve">Therapierefraktäre Anämien (z. B. bestimmte hämolytische Anämien, Thalassämie, Erythrozytenenzymdefekte)    </w:t>
      </w:r>
    </w:p>
    <w:p>
      <w:r>
        <w:rPr>
          <w:rFonts w:ascii="Courier New" w:hAnsi="Courier New"/>
          <w:sz w:val="17"/>
        </w:rPr>
        <w:t xml:space="preserve">    mit geringen Auswirkungen (ausgeglichen und ohne wesentliche Allgemeinstörungen)    0-10</w:t>
      </w:r>
    </w:p>
    <w:p>
      <w:r>
        <w:rPr>
          <w:rFonts w:ascii="Courier New" w:hAnsi="Courier New"/>
          <w:sz w:val="17"/>
        </w:rPr>
        <w:t xml:space="preserve">    mit mäßigen Auswirkungen (z. B. gelegentliche Transfusionen)    20-40</w:t>
      </w:r>
    </w:p>
    <w:p>
      <w:r>
        <w:rPr>
          <w:rFonts w:ascii="Courier New" w:hAnsi="Courier New"/>
          <w:sz w:val="17"/>
        </w:rPr>
        <w:t xml:space="preserve">    mit starken Auswirkungen (z. B. andauernde Transfusionsbedürftigkeit)    50-70</w:t>
      </w:r>
    </w:p>
    <w:p>
      <w:r>
        <w:rPr>
          <w:rFonts w:ascii="Courier New" w:hAnsi="Courier New"/>
          <w:sz w:val="17"/>
        </w:rPr>
        <w:t xml:space="preserve">16.10 Hämophilie und entsprechende plasmatische Blutungskrankheiten (je nach Blutungsneigung)    </w:t>
      </w:r>
    </w:p>
    <w:p>
      <w:r>
        <w:rPr>
          <w:rFonts w:ascii="Courier New" w:hAnsi="Courier New"/>
          <w:sz w:val="17"/>
        </w:rPr>
        <w:t xml:space="preserve">    leichte Form    </w:t>
      </w:r>
    </w:p>
    <w:p>
      <w:r>
        <w:rPr>
          <w:rFonts w:ascii="Courier New" w:hAnsi="Courier New"/>
          <w:sz w:val="17"/>
        </w:rPr>
        <w:t xml:space="preserve">    mit Restaktivität von antihämophilem Globulin (AHG) über 5 %    20</w:t>
      </w:r>
    </w:p>
    <w:p>
      <w:r>
        <w:rPr>
          <w:rFonts w:ascii="Courier New" w:hAnsi="Courier New"/>
          <w:sz w:val="17"/>
        </w:rPr>
        <w:t xml:space="preserve">    mittelschwere Form - mit 1-5 % AHG    </w:t>
      </w:r>
    </w:p>
    <w:p>
      <w:r>
        <w:rPr>
          <w:rFonts w:ascii="Courier New" w:hAnsi="Courier New"/>
          <w:sz w:val="17"/>
        </w:rPr>
        <w:t xml:space="preserve">    mit seltenen Blutungen    30-40</w:t>
      </w:r>
    </w:p>
    <w:p>
      <w:r>
        <w:rPr>
          <w:rFonts w:ascii="Courier New" w:hAnsi="Courier New"/>
          <w:sz w:val="17"/>
        </w:rPr>
        <w:t xml:space="preserve">    mit häufigen (mehrfach jährlich) ausgeprägten Blutungen    50-80</w:t>
      </w:r>
    </w:p>
    <w:p>
      <w:r>
        <w:rPr>
          <w:rFonts w:ascii="Courier New" w:hAnsi="Courier New"/>
          <w:sz w:val="17"/>
        </w:rPr>
        <w:t xml:space="preserve">    schwere Form - mit weniger als 1 % AHG    80-100</w:t>
      </w:r>
    </w:p>
    <w:p>
      <w:r>
        <w:rPr>
          <w:rFonts w:ascii="Courier New" w:hAnsi="Courier New"/>
          <w:sz w:val="17"/>
        </w:rPr>
        <w:t xml:space="preserve">Sonstige Blutungsleiden    </w:t>
      </w:r>
    </w:p>
    <w:p>
      <w:r>
        <w:rPr>
          <w:rFonts w:ascii="Courier New" w:hAnsi="Courier New"/>
          <w:sz w:val="17"/>
        </w:rPr>
        <w:t xml:space="preserve">    ohne wesentliche Auswirkungen    10</w:t>
      </w:r>
    </w:p>
    <w:p>
      <w:r>
        <w:rPr>
          <w:rFonts w:ascii="Courier New" w:hAnsi="Courier New"/>
          <w:sz w:val="17"/>
        </w:rPr>
        <w:t xml:space="preserve">    mit mäßigen Auswirkungen    20-40</w:t>
      </w:r>
    </w:p>
    <w:p>
      <w:r>
        <w:rPr>
          <w:rFonts w:ascii="Courier New" w:hAnsi="Courier New"/>
          <w:sz w:val="17"/>
        </w:rPr>
        <w:t xml:space="preserve">    mit starken Auswirkungen (starke Blutungen bereits bei leichten Traumen)    50-70</w:t>
      </w:r>
    </w:p>
    <w:p>
      <w:r>
        <w:rPr>
          <w:rFonts w:ascii="Courier New" w:hAnsi="Courier New"/>
          <w:sz w:val="17"/>
        </w:rPr>
        <w:t xml:space="preserve">    mit ständiger klinisch manifester Blutungsneigung (Spontanblutungen, Gefahr lebensbedrohlicher Blutungen)    80-100</w:t>
      </w:r>
    </w:p>
    <w:p>
      <w:r>
        <w:rPr>
          <w:rFonts w:ascii="Courier New" w:hAnsi="Courier New"/>
          <w:sz w:val="17"/>
        </w:rPr>
        <w:t xml:space="preserve">Eine Behandlung mit Antikoagulantien ist bei der Grundkrankheit (z. B. bei Herzklappen- und Gefäßprothesen, Thrombophilie) berücksichtigt. Wenn die Grundkrankheit nicht mehr besteht bzw. keinen GdS mehr bedingt, aber eine Weiterbehandlung mit Antikoagulantien erforderlich ist, kann - analog den sonstigen Blutungsleiden - in der Regel ein GdS von 10 angenommen werden.</w:t>
      </w:r>
    </w:p>
    <w:p>
      <w:r>
        <w:rPr>
          <w:rFonts w:ascii="Courier New" w:hAnsi="Courier New"/>
          <w:sz w:val="17"/>
        </w:rPr>
        <w:t xml:space="preserve">16.11 Immundefekte    </w:t>
      </w:r>
    </w:p>
    <w:p>
      <w:r>
        <w:rPr>
          <w:rFonts w:ascii="Courier New" w:hAnsi="Courier New"/>
          <w:sz w:val="17"/>
        </w:rPr>
        <w:t xml:space="preserve">Angeborene Defekte der humoralen und zellulären Abwehr (z. B. Adenosindesaminase-Defekt, DiGeorge-Syndrom, permanente B-Zell-Defekte, septische Granulomatose)    </w:t>
      </w:r>
    </w:p>
    <w:p>
      <w:r>
        <w:rPr>
          <w:rFonts w:ascii="Courier New" w:hAnsi="Courier New"/>
          <w:sz w:val="17"/>
        </w:rPr>
        <w:t xml:space="preserve">    ohne klinische Symptomatik    0</w:t>
      </w:r>
    </w:p>
    <w:p>
      <w:r>
        <w:rPr>
          <w:rFonts w:ascii="Courier New" w:hAnsi="Courier New"/>
          <w:sz w:val="17"/>
        </w:rPr>
        <w:t xml:space="preserve">    trotz Therapie erhöhte Infektanfälligkeit, aber keine außergewöhnlichen Infektionen    20-40</w:t>
      </w:r>
    </w:p>
    <w:p>
      <w:r>
        <w:rPr>
          <w:rFonts w:ascii="Courier New" w:hAnsi="Courier New"/>
          <w:sz w:val="17"/>
        </w:rPr>
        <w:t xml:space="preserve">    trotz Therapie neben erhöhter Infektanfälligkeit auch außergewöhnliche Infektionen (ein bis zwei pro Jahr)    50</w:t>
      </w:r>
    </w:p>
    <w:p>
      <w:r>
        <w:rPr>
          <w:rFonts w:ascii="Courier New" w:hAnsi="Courier New"/>
          <w:sz w:val="17"/>
        </w:rPr>
        <w:t xml:space="preserve">    Bei schwereren Verlaufsformen kommt ein höherer GdS in Betracht.    </w:t>
      </w:r>
    </w:p>
    <w:p>
      <w:r>
        <w:rPr>
          <w:rFonts w:ascii="Courier New" w:hAnsi="Courier New"/>
          <w:sz w:val="17"/>
        </w:rPr>
        <w:t xml:space="preserve">Erworbenes Immunmangelsyndrom (HIV-Infektion)    </w:t>
      </w:r>
    </w:p>
    <w:p>
      <w:r>
        <w:rPr>
          <w:rFonts w:ascii="Courier New" w:hAnsi="Courier New"/>
          <w:sz w:val="17"/>
        </w:rPr>
        <w:t xml:space="preserve">    HIV-Infektion ohne klinische Symptomatik    10</w:t>
      </w:r>
    </w:p>
    <w:p>
      <w:r>
        <w:rPr>
          <w:rFonts w:ascii="Courier New" w:hAnsi="Courier New"/>
          <w:sz w:val="17"/>
        </w:rPr>
        <w:t xml:space="preserve">HIV-Infektion mit klinischer Symptomatik    </w:t>
      </w:r>
    </w:p>
    <w:p>
      <w:r>
        <w:rPr>
          <w:rFonts w:ascii="Courier New" w:hAnsi="Courier New"/>
          <w:sz w:val="17"/>
        </w:rPr>
        <w:t xml:space="preserve">    geringe Leistungsbeeinträchtigung (z. B. bei Lymphadenopathie syndrom [LAS])    30-40</w:t>
      </w:r>
    </w:p>
    <w:p>
      <w:r>
        <w:rPr>
          <w:rFonts w:ascii="Courier New" w:hAnsi="Courier New"/>
          <w:sz w:val="17"/>
        </w:rPr>
        <w:t xml:space="preserve">    stärkere Leistungsbeeinträchtigung (z. B. bei AIDS-related complex [ARC])    50-80</w:t>
      </w:r>
    </w:p>
    <w:p>
      <w:r>
        <w:rPr>
          <w:rFonts w:ascii="Courier New" w:hAnsi="Courier New"/>
          <w:sz w:val="17"/>
        </w:rPr>
        <w:t xml:space="preserve">    schwere Leistungsbeeinträchtigung (AIDS-Vollbild)    100</w:t>
      </w:r>
    </w:p>
    <w:p>
      <w:pPr>
        <w:ind w:left="420"/>
      </w:pPr>
      <w:r>
        <w:t xml:space="preserve">17. Haut</w:t>
      </w:r>
    </w:p>
    <w:p>
      <w:r>
        <w:rPr>
          <w:rFonts w:ascii="Courier New" w:hAnsi="Courier New"/>
          <w:sz w:val="17"/>
        </w:rPr>
        <w:t xml:space="preserve">Bei der Beurteilung des GdS von Hautkrankheiten sind Art, Ausdehnung, Sitz, Auswirkungen auf den Allgemeinzustand, Begleiterscheinungen (wie Jucken, Nässen, Brennen, unangenehme und abstoßende Gerüche) und die Rezidivbereitschaft bzw. die Chronizität sowie die Notwendigkeit wiederholter stationärer Behandlung zu berücksichtigen. Bei Hautkrankheiten mit stark schwankendem Leidensverlauf kommt ein Durchschnitts-GdS in Betracht. Bei Kindern können sich Hautkrankheiten schwerer auswirken als bei Erwachsenen.</w:t>
      </w:r>
    </w:p>
    <w:p>
      <w:r>
        <w:rPr>
          <w:rFonts w:ascii="Courier New" w:hAnsi="Courier New"/>
          <w:sz w:val="17"/>
        </w:rPr>
        <w:t xml:space="preserve">Narben können durch Ausdehnung, Beschaffenheit (z. B. Verhärtung, Verdünnung, Narbenzüge), Sitz oder Einwirkung auf ihre Umgebung zu Störungen führen. Bei flächenhaften Narben nach Verbrennungen, Verätzungen und ähnlichem muss außerdem die Beeinträchtigung der Haut als Schutz-, Ausscheidungs- und Sinnesorgan berücksichtigt werden. Diese Störungen bestimmen die Höhe des GdS.</w:t>
      </w:r>
    </w:p>
    <w:p>
      <w:r>
        <w:rPr>
          <w:rFonts w:ascii="Courier New" w:hAnsi="Courier New"/>
          <w:sz w:val="17"/>
        </w:rPr>
        <w:t xml:space="preserve">Bei Entstellungen ist zu berücksichtigen, dass sich Schwierigkeiten im Erwerbsleben, Unannehmlichkeiten im Verkehr mit fremden Menschen sowie seelische Konflikte ergeben können.</w:t>
      </w:r>
    </w:p>
    <w:p>
      <w:r>
        <w:rPr>
          <w:rFonts w:ascii="Courier New" w:hAnsi="Courier New"/>
          <w:sz w:val="17"/>
        </w:rPr>
        <w:t xml:space="preserve">17.1 Ekzeme    </w:t>
      </w:r>
    </w:p>
    <w:p>
      <w:r>
        <w:rPr>
          <w:rFonts w:ascii="Courier New" w:hAnsi="Courier New"/>
          <w:sz w:val="17"/>
        </w:rPr>
        <w:t xml:space="preserve">Kontaktekzeme (z. B. irritatives und allergisches Kontaktekzem)    </w:t>
      </w:r>
    </w:p>
    <w:p>
      <w:r>
        <w:rPr>
          <w:rFonts w:ascii="Courier New" w:hAnsi="Courier New"/>
          <w:sz w:val="17"/>
        </w:rPr>
        <w:t xml:space="preserve">    geringe Ausdehnung und bis zu zweimal im Jahr für wenige    </w:t>
      </w:r>
    </w:p>
    <w:p>
      <w:r>
        <w:rPr>
          <w:rFonts w:ascii="Courier New" w:hAnsi="Courier New"/>
          <w:sz w:val="17"/>
        </w:rPr>
        <w:t xml:space="preserve">    Wochen auftretend    0-10</w:t>
      </w:r>
    </w:p>
    <w:p>
      <w:r>
        <w:rPr>
          <w:rFonts w:ascii="Courier New" w:hAnsi="Courier New"/>
          <w:sz w:val="17"/>
        </w:rPr>
        <w:t xml:space="preserve">    Sonst    20-30</w:t>
      </w:r>
    </w:p>
    <w:p>
      <w:r>
        <w:rPr>
          <w:rFonts w:ascii="Courier New" w:hAnsi="Courier New"/>
          <w:sz w:val="17"/>
        </w:rPr>
        <w:t xml:space="preserve">Atopisches Ekzem („Neurodermitis constitutionalis", „endogenes Ekzem")    </w:t>
      </w:r>
    </w:p>
    <w:p>
      <w:r>
        <w:rPr>
          <w:rFonts w:ascii="Courier New" w:hAnsi="Courier New"/>
          <w:sz w:val="17"/>
        </w:rPr>
        <w:t xml:space="preserve">    geringe, auf die Prädilektionsstellen begrenzte Ausdehnung bis zu zweimal im Jahr für wenige Wochen auftretend    0-10</w:t>
      </w:r>
    </w:p>
    <w:p>
      <w:r>
        <w:rPr>
          <w:rFonts w:ascii="Courier New" w:hAnsi="Courier New"/>
          <w:sz w:val="17"/>
        </w:rPr>
        <w:t xml:space="preserve">    bei länger dauerndem Bestehen    20-30</w:t>
      </w:r>
    </w:p>
    <w:p>
      <w:r>
        <w:rPr>
          <w:rFonts w:ascii="Courier New" w:hAnsi="Courier New"/>
          <w:sz w:val="17"/>
        </w:rPr>
        <w:t xml:space="preserve">    mit generalisierten Hauterscheinungen, insbesondere Gesichtsbefall    40</w:t>
      </w:r>
    </w:p>
    <w:p>
      <w:r>
        <w:rPr>
          <w:rFonts w:ascii="Courier New" w:hAnsi="Courier New"/>
          <w:sz w:val="17"/>
        </w:rPr>
        <w:t xml:space="preserve">    mit klinischer oder vergleichbar intensiver ambulanter Behandlungsnotwendigkeit mehrmals im Jahr    50</w:t>
      </w:r>
    </w:p>
    <w:p>
      <w:r>
        <w:rPr>
          <w:rFonts w:ascii="Courier New" w:hAnsi="Courier New"/>
          <w:sz w:val="17"/>
        </w:rPr>
        <w:t xml:space="preserve">Seborrhoisches Ekzem    </w:t>
      </w:r>
    </w:p>
    <w:p>
      <w:r>
        <w:rPr>
          <w:rFonts w:ascii="Courier New" w:hAnsi="Courier New"/>
          <w:sz w:val="17"/>
        </w:rPr>
        <w:t xml:space="preserve">    geringe Ausdehnung und Beschränkung auf die Prädilektionsstellen    0-10</w:t>
      </w:r>
    </w:p>
    <w:p>
      <w:r>
        <w:rPr>
          <w:rFonts w:ascii="Courier New" w:hAnsi="Courier New"/>
          <w:sz w:val="17"/>
        </w:rPr>
        <w:t xml:space="preserve">    sonst, je nach Ausdehnung    20-30</w:t>
      </w:r>
    </w:p>
    <w:p>
      <w:r>
        <w:rPr>
          <w:rFonts w:ascii="Courier New" w:hAnsi="Courier New"/>
          <w:sz w:val="17"/>
        </w:rPr>
        <w:t xml:space="preserve">17.2 Chronisch rezidivierende Urtikaria/Quincke-Ödem    </w:t>
      </w:r>
    </w:p>
    <w:p>
      <w:r>
        <w:rPr>
          <w:rFonts w:ascii="Courier New" w:hAnsi="Courier New"/>
          <w:sz w:val="17"/>
        </w:rPr>
        <w:t xml:space="preserve">    selten, bis zu zweimal im Jahr auftretend, leicht vermeidbare Noxen oder Allergene    0-10</w:t>
      </w:r>
    </w:p>
    <w:p>
      <w:r>
        <w:rPr>
          <w:rFonts w:ascii="Courier New" w:hAnsi="Courier New"/>
          <w:sz w:val="17"/>
        </w:rPr>
        <w:t xml:space="preserve">    häufiger auftretende Schübe, schwer vermeidbare Noxen oder Allergene    20-30</w:t>
      </w:r>
    </w:p>
    <w:p>
      <w:r>
        <w:rPr>
          <w:rFonts w:ascii="Courier New" w:hAnsi="Courier New"/>
          <w:sz w:val="17"/>
        </w:rPr>
        <w:t xml:space="preserve">    schwerer chronischer, über Jahre sich hinziehender Verlauf    40-50</w:t>
      </w:r>
    </w:p>
    <w:p>
      <w:r>
        <w:rPr>
          <w:rFonts w:ascii="Courier New" w:hAnsi="Courier New"/>
          <w:sz w:val="17"/>
        </w:rPr>
        <w:t xml:space="preserve">    Eine systemische Beteiligung z. B. des Gastrointestinaltraktes oder des Kreislaufs ist ggf. zusätzlich zu berücksichtigen.</w:t>
      </w:r>
    </w:p>
    <w:p>
      <w:r>
        <w:rPr>
          <w:rFonts w:ascii="Courier New" w:hAnsi="Courier New"/>
          <w:sz w:val="17"/>
        </w:rPr>
        <w:t xml:space="preserve">17.3 Akne    </w:t>
      </w:r>
    </w:p>
    <w:p>
      <w:r>
        <w:rPr>
          <w:rFonts w:ascii="Courier New" w:hAnsi="Courier New"/>
          <w:sz w:val="17"/>
        </w:rPr>
        <w:t xml:space="preserve">Acne vulgaris    </w:t>
      </w:r>
    </w:p>
    <w:p>
      <w:r>
        <w:rPr>
          <w:rFonts w:ascii="Courier New" w:hAnsi="Courier New"/>
          <w:sz w:val="17"/>
        </w:rPr>
        <w:t xml:space="preserve">    leichteren bis mittleren Grades    0-10</w:t>
      </w:r>
    </w:p>
    <w:p>
      <w:r>
        <w:rPr>
          <w:rFonts w:ascii="Courier New" w:hAnsi="Courier New"/>
          <w:sz w:val="17"/>
        </w:rPr>
        <w:t xml:space="preserve">    schweren Grades mit vereinzelter Abszess- und Knotenbildung und entsprechender erheblicher kosmetischer Beeinträchtigung    20-30</w:t>
      </w:r>
    </w:p>
    <w:p>
      <w:r>
        <w:rPr>
          <w:rFonts w:ascii="Courier New" w:hAnsi="Courier New"/>
          <w:sz w:val="17"/>
        </w:rPr>
        <w:t xml:space="preserve">Acne conglobata    </w:t>
      </w:r>
    </w:p>
    <w:p>
      <w:r>
        <w:rPr>
          <w:rFonts w:ascii="Courier New" w:hAnsi="Courier New"/>
          <w:sz w:val="17"/>
        </w:rPr>
        <w:t xml:space="preserve">    auf die Prädilektionsstellen begrenzte häufige Abszess- und Fistelbildungen und lokalisationsbedingte Beeinträchtigungen    30-40</w:t>
      </w:r>
    </w:p>
    <w:p>
      <w:r>
        <w:rPr>
          <w:rFonts w:ascii="Courier New" w:hAnsi="Courier New"/>
          <w:sz w:val="17"/>
        </w:rPr>
        <w:t xml:space="preserve">    schwerste Formen mit rezidivierenden eitrigen, vernarbenden axilläringuinalen und nuchalen Abszessen (Acne triade) und ggf. zusätzlicher Beteiligung des Pilonidalsinus (Acne tetrade)    wenigstens 50</w:t>
      </w:r>
    </w:p>
    <w:p>
      <w:r>
        <w:rPr>
          <w:rFonts w:ascii="Courier New" w:hAnsi="Courier New"/>
          <w:sz w:val="17"/>
        </w:rPr>
        <w:t xml:space="preserve">17.4 Rosazea, Rhinophym    </w:t>
      </w:r>
    </w:p>
    <w:p>
      <w:r>
        <w:rPr>
          <w:rFonts w:ascii="Courier New" w:hAnsi="Courier New"/>
          <w:sz w:val="17"/>
        </w:rPr>
        <w:t xml:space="preserve">    geringe Ausdehnung, kosmetisch nur wenig störend    0-10</w:t>
      </w:r>
    </w:p>
    <w:p>
      <w:r>
        <w:rPr>
          <w:rFonts w:ascii="Courier New" w:hAnsi="Courier New"/>
          <w:sz w:val="17"/>
        </w:rPr>
        <w:t xml:space="preserve">    stärkere Ausdehnung, entstellende Wirkung    20-30</w:t>
      </w:r>
    </w:p>
    <w:p>
      <w:r>
        <w:rPr>
          <w:rFonts w:ascii="Courier New" w:hAnsi="Courier New"/>
          <w:sz w:val="17"/>
        </w:rPr>
        <w:t xml:space="preserve">17.5 Hautveränderungen bei Autoimmunkrankheiten des Bindegewebes    </w:t>
      </w:r>
    </w:p>
    <w:p>
      <w:r>
        <w:rPr>
          <w:rFonts w:ascii="Courier New" w:hAnsi="Courier New"/>
          <w:sz w:val="17"/>
        </w:rPr>
        <w:t xml:space="preserve">(z. B. Lupus erythematodes, Dermatomyositis, progressive systemische Sklerodermie)    </w:t>
      </w:r>
    </w:p>
    <w:p>
      <w:r>
        <w:rPr>
          <w:rFonts w:ascii="Courier New" w:hAnsi="Courier New"/>
          <w:sz w:val="17"/>
        </w:rPr>
        <w:t xml:space="preserve">    auf die Prädilektionsstellen begrenzt bei geringer Ausdehnung    0-10</w:t>
      </w:r>
    </w:p>
    <w:p>
      <w:r>
        <w:rPr>
          <w:rFonts w:ascii="Courier New" w:hAnsi="Courier New"/>
          <w:sz w:val="17"/>
        </w:rPr>
        <w:t xml:space="preserve">    auf die Prädilektionsstellen begrenzt bei stärkerer Ausdehnung, je nach kosmetischer und funktioneller Auswirkung    20-40</w:t>
      </w:r>
    </w:p>
    <w:p>
      <w:r>
        <w:rPr>
          <w:rFonts w:ascii="Courier New" w:hAnsi="Courier New"/>
          <w:sz w:val="17"/>
        </w:rPr>
        <w:t xml:space="preserve">    über die Prädilektionsstellen hinausgehend, ggf. Ulzerationen    50-70</w:t>
      </w:r>
    </w:p>
    <w:p>
      <w:r>
        <w:rPr>
          <w:rFonts w:ascii="Courier New" w:hAnsi="Courier New"/>
          <w:sz w:val="17"/>
        </w:rPr>
        <w:t xml:space="preserve">17.6 Blasenbildende Hautkrankheiten (z. B. Pemphigus, Pemphigoide)    </w:t>
      </w:r>
    </w:p>
    <w:p>
      <w:r>
        <w:rPr>
          <w:rFonts w:ascii="Courier New" w:hAnsi="Courier New"/>
          <w:sz w:val="17"/>
        </w:rPr>
        <w:t xml:space="preserve">    bei begrenztem Haut- und Schleimhautbefall mit geringer Ausdehnung    10</w:t>
      </w:r>
    </w:p>
    <w:p>
      <w:r>
        <w:rPr>
          <w:rFonts w:ascii="Courier New" w:hAnsi="Courier New"/>
          <w:sz w:val="17"/>
        </w:rPr>
        <w:t xml:space="preserve">    sonst    20-40</w:t>
      </w:r>
    </w:p>
    <w:p>
      <w:r>
        <w:rPr>
          <w:rFonts w:ascii="Courier New" w:hAnsi="Courier New"/>
          <w:sz w:val="17"/>
        </w:rPr>
        <w:t xml:space="preserve">    bei generalisiertem Haut- und Schleimhautbefall    50-80</w:t>
      </w:r>
    </w:p>
    <w:p>
      <w:r>
        <w:rPr>
          <w:rFonts w:ascii="Courier New" w:hAnsi="Courier New"/>
          <w:sz w:val="17"/>
        </w:rPr>
        <w:t xml:space="preserve">    in fortgeschrittenen Stadien bei schwerer Beeinträchtigung des Allgemeinzustandes auch höher.    </w:t>
      </w:r>
    </w:p>
    <w:p>
      <w:r>
        <w:rPr>
          <w:rFonts w:ascii="Courier New" w:hAnsi="Courier New"/>
          <w:sz w:val="17"/>
        </w:rPr>
        <w:t xml:space="preserve">17.7 Psoriasis vulgaris    </w:t>
      </w:r>
    </w:p>
    <w:p>
      <w:r>
        <w:rPr>
          <w:rFonts w:ascii="Courier New" w:hAnsi="Courier New"/>
          <w:sz w:val="17"/>
        </w:rPr>
        <w:t xml:space="preserve">    auf die Prädilektionsstellen beschränkt    0-10</w:t>
      </w:r>
    </w:p>
    <w:p>
      <w:r>
        <w:rPr>
          <w:rFonts w:ascii="Courier New" w:hAnsi="Courier New"/>
          <w:sz w:val="17"/>
        </w:rPr>
        <w:t xml:space="preserve">    ausgedehnter, aber erscheinungsfreie Intervalle von Monaten    20</w:t>
      </w:r>
    </w:p>
    <w:p>
      <w:r>
        <w:rPr>
          <w:rFonts w:ascii="Courier New" w:hAnsi="Courier New"/>
          <w:sz w:val="17"/>
        </w:rPr>
        <w:t xml:space="preserve">    bei andauerndem ausgedehnten Befall oder stark beeinträchtigendem lokalen Befall (z. B. an den Händen)    30-50</w:t>
      </w:r>
    </w:p>
    <w:p>
      <w:r>
        <w:rPr>
          <w:rFonts w:ascii="Courier New" w:hAnsi="Courier New"/>
          <w:sz w:val="17"/>
        </w:rPr>
        <w:t xml:space="preserve">    Eine außergewöhnliche Nagelbeteiligung (mit Zerstörung der Nagelplatten) sowie eine Gelenk- und Wirbelsäulenbeteiligung sind zusätzlich zu bewerten.</w:t>
      </w:r>
    </w:p>
    <w:p>
      <w:r>
        <w:rPr>
          <w:rFonts w:ascii="Courier New" w:hAnsi="Courier New"/>
          <w:sz w:val="17"/>
        </w:rPr>
        <w:t xml:space="preserve">17.8 Erythrodermien    </w:t>
      </w:r>
    </w:p>
    <w:p>
      <w:r>
        <w:rPr>
          <w:rFonts w:ascii="Courier New" w:hAnsi="Courier New"/>
          <w:sz w:val="17"/>
        </w:rPr>
        <w:t xml:space="preserve">    bei leichter Intensität des Krankheitsprozesses    40</w:t>
      </w:r>
    </w:p>
    <w:p>
      <w:r>
        <w:rPr>
          <w:rFonts w:ascii="Courier New" w:hAnsi="Courier New"/>
          <w:sz w:val="17"/>
        </w:rPr>
        <w:t xml:space="preserve">    bei mittlerer Intensität des Krankheitsprozesses ohne wesentliche Auswirkung auf den Allgemeinzustand    50-60</w:t>
      </w:r>
    </w:p>
    <w:p>
      <w:r>
        <w:rPr>
          <w:rFonts w:ascii="Courier New" w:hAnsi="Courier New"/>
          <w:sz w:val="17"/>
        </w:rPr>
        <w:t xml:space="preserve">    mit stärkerer Auswirkung auf den Allgemeinzustand    70-80</w:t>
      </w:r>
    </w:p>
    <w:p>
      <w:r>
        <w:rPr>
          <w:rFonts w:ascii="Courier New" w:hAnsi="Courier New"/>
          <w:sz w:val="17"/>
        </w:rPr>
        <w:t xml:space="preserve">17.9 Ichthyosis    </w:t>
      </w:r>
    </w:p>
    <w:p>
      <w:r>
        <w:rPr>
          <w:rFonts w:ascii="Courier New" w:hAnsi="Courier New"/>
          <w:sz w:val="17"/>
        </w:rPr>
        <w:t xml:space="preserve">    leichte Form,    </w:t>
      </w:r>
    </w:p>
    <w:p>
      <w:r>
        <w:rPr>
          <w:rFonts w:ascii="Courier New" w:hAnsi="Courier New"/>
          <w:sz w:val="17"/>
        </w:rPr>
        <w:t xml:space="preserve">    auf Stamm und Extremitäten weitgehend begrenzt, mit trockener Haut, mäßiger Schuppung, ohne wesentliche Verfärbung    0-10</w:t>
      </w:r>
    </w:p>
    <w:p>
      <w:r>
        <w:rPr>
          <w:rFonts w:ascii="Courier New" w:hAnsi="Courier New"/>
          <w:sz w:val="17"/>
        </w:rPr>
        <w:t xml:space="preserve">    mittlere Form    </w:t>
      </w:r>
    </w:p>
    <w:p>
      <w:r>
        <w:rPr>
          <w:rFonts w:ascii="Courier New" w:hAnsi="Courier New"/>
          <w:sz w:val="17"/>
        </w:rPr>
        <w:t xml:space="preserve">    auf Stamm und Extremitäten weitgehend begrenzt, mit stärkerer Schuppung und Verfärbung    20-40</w:t>
      </w:r>
    </w:p>
    <w:p>
      <w:r>
        <w:rPr>
          <w:rFonts w:ascii="Courier New" w:hAnsi="Courier New"/>
          <w:sz w:val="17"/>
        </w:rPr>
        <w:t xml:space="preserve">    schwere Form    </w:t>
      </w:r>
    </w:p>
    <w:p>
      <w:r>
        <w:rPr>
          <w:rFonts w:ascii="Courier New" w:hAnsi="Courier New"/>
          <w:sz w:val="17"/>
        </w:rPr>
        <w:t xml:space="preserve">    mit ausgeprägter Schuppung und Verfärbung der gesamten Haut, insbesondere der Gelenkbeugen und des Gesichts    50-80</w:t>
      </w:r>
    </w:p>
    <w:p>
      <w:r>
        <w:rPr>
          <w:rFonts w:ascii="Courier New" w:hAnsi="Courier New"/>
          <w:sz w:val="17"/>
        </w:rPr>
        <w:t xml:space="preserve">17.10 Mykosen    </w:t>
      </w:r>
    </w:p>
    <w:p>
      <w:r>
        <w:rPr>
          <w:rFonts w:ascii="Courier New" w:hAnsi="Courier New"/>
          <w:sz w:val="17"/>
        </w:rPr>
        <w:t xml:space="preserve">    bei begrenztem Hautbefall    0-10</w:t>
      </w:r>
    </w:p>
    <w:p>
      <w:r>
        <w:rPr>
          <w:rFonts w:ascii="Courier New" w:hAnsi="Courier New"/>
          <w:sz w:val="17"/>
        </w:rPr>
        <w:t xml:space="preserve">    bei Befall aller Finger- und Fußnägel, ggf. mit Zerstörung von Nagelplatten    20</w:t>
      </w:r>
    </w:p>
    <w:p>
      <w:r>
        <w:rPr>
          <w:rFonts w:ascii="Courier New" w:hAnsi="Courier New"/>
          <w:sz w:val="17"/>
        </w:rPr>
        <w:t xml:space="preserve">Chronisch rezidivierendes Erysipel    </w:t>
      </w:r>
    </w:p>
    <w:p>
      <w:r>
        <w:rPr>
          <w:rFonts w:ascii="Courier New" w:hAnsi="Courier New"/>
          <w:sz w:val="17"/>
        </w:rPr>
        <w:t xml:space="preserve">    ohne bleibendes Lymphödem    10</w:t>
      </w:r>
    </w:p>
    <w:p>
      <w:r>
        <w:rPr>
          <w:rFonts w:ascii="Courier New" w:hAnsi="Courier New"/>
          <w:sz w:val="17"/>
        </w:rPr>
        <w:t xml:space="preserve">    sonst, je nach Ausprägung des Lymphödems    20-40</w:t>
      </w:r>
    </w:p>
    <w:p>
      <w:r>
        <w:rPr>
          <w:rFonts w:ascii="Courier New" w:hAnsi="Courier New"/>
          <w:sz w:val="17"/>
        </w:rPr>
        <w:t xml:space="preserve">Chronisch rezidivierender Herpes simplex    </w:t>
      </w:r>
    </w:p>
    <w:p>
      <w:r>
        <w:rPr>
          <w:rFonts w:ascii="Courier New" w:hAnsi="Courier New"/>
          <w:sz w:val="17"/>
        </w:rPr>
        <w:t xml:space="preserve">    geringe Ausdehnung, bis zu dreimal im Jahr rezidivierend    0-10</w:t>
      </w:r>
    </w:p>
    <w:p>
      <w:r>
        <w:rPr>
          <w:rFonts w:ascii="Courier New" w:hAnsi="Courier New"/>
          <w:sz w:val="17"/>
        </w:rPr>
        <w:t xml:space="preserve">    größere Ausdehnung, häufiger rezidivierend    20</w:t>
      </w:r>
    </w:p>
    <w:p>
      <w:r>
        <w:rPr>
          <w:rFonts w:ascii="Courier New" w:hAnsi="Courier New"/>
          <w:sz w:val="17"/>
        </w:rPr>
        <w:t xml:space="preserve">17.11 Totaler Haarausfall    </w:t>
      </w:r>
    </w:p>
    <w:p>
      <w:r>
        <w:rPr>
          <w:rFonts w:ascii="Courier New" w:hAnsi="Courier New"/>
          <w:sz w:val="17"/>
        </w:rPr>
        <w:t xml:space="preserve">    (mit Fehlen von Augenbrauen und Wimpern)    30</w:t>
      </w:r>
    </w:p>
    <w:p>
      <w:r>
        <w:rPr>
          <w:rFonts w:ascii="Courier New" w:hAnsi="Courier New"/>
          <w:sz w:val="17"/>
        </w:rPr>
        <w:t xml:space="preserve">17.12 Naevus    </w:t>
      </w:r>
    </w:p>
    <w:p>
      <w:r>
        <w:rPr>
          <w:rFonts w:ascii="Courier New" w:hAnsi="Courier New"/>
          <w:sz w:val="17"/>
        </w:rPr>
        <w:t xml:space="preserve">Der GdS richtet sich allein nach dem Ausmaß einer eventuellen Entstellung.    </w:t>
      </w:r>
    </w:p>
    <w:p>
      <w:r>
        <w:rPr>
          <w:rFonts w:ascii="Courier New" w:hAnsi="Courier New"/>
          <w:sz w:val="17"/>
        </w:rPr>
        <w:t xml:space="preserve">Pigmentstörungen (z. B. Vitiligo)    </w:t>
      </w:r>
    </w:p>
    <w:p>
      <w:r>
        <w:rPr>
          <w:rFonts w:ascii="Courier New" w:hAnsi="Courier New"/>
          <w:sz w:val="17"/>
        </w:rPr>
        <w:t xml:space="preserve">    an Händen und/oder Gesicht    </w:t>
      </w:r>
    </w:p>
    <w:p>
      <w:r>
        <w:rPr>
          <w:rFonts w:ascii="Courier New" w:hAnsi="Courier New"/>
          <w:sz w:val="17"/>
        </w:rPr>
        <w:t xml:space="preserve">    gering    10</w:t>
      </w:r>
    </w:p>
    <w:p>
      <w:r>
        <w:rPr>
          <w:rFonts w:ascii="Courier New" w:hAnsi="Courier New"/>
          <w:sz w:val="17"/>
        </w:rPr>
        <w:t xml:space="preserve">    ausgedehnter    20</w:t>
      </w:r>
    </w:p>
    <w:p>
      <w:r>
        <w:rPr>
          <w:rFonts w:ascii="Courier New" w:hAnsi="Courier New"/>
          <w:sz w:val="17"/>
        </w:rPr>
        <w:t xml:space="preserve">    sonst    0</w:t>
      </w:r>
    </w:p>
    <w:p>
      <w:r>
        <w:rPr>
          <w:rFonts w:ascii="Courier New" w:hAnsi="Courier New"/>
          <w:sz w:val="17"/>
        </w:rPr>
        <w:t xml:space="preserve">17.13 Nach Entfernung eines malignen Tumors der Haut ist in den ersten fünf Jahren eine Heilungsbewährung abzuwarten (Ausnahmen: z. B. Basalzellkarzinome, Bowen-Krankheit, Melanoma in situ); GdS während dieser Zeit</w:t>
      </w:r>
    </w:p>
    <w:p>
      <w:r>
        <w:rPr>
          <w:rFonts w:ascii="Courier New" w:hAnsi="Courier New"/>
          <w:sz w:val="17"/>
        </w:rPr>
        <w:t xml:space="preserve">nach Entfernung eines Melanoms im Stadium I ([pT1 bis T2] pN0 M0) oder eines anderen Hauttumors in den Stadien (pT1 bis T2) pN0 bis N2 M0    50</w:t>
      </w:r>
    </w:p>
    <w:p>
      <w:r>
        <w:rPr>
          <w:rFonts w:ascii="Courier New" w:hAnsi="Courier New"/>
          <w:sz w:val="17"/>
        </w:rPr>
        <w:t xml:space="preserve">in anderen Stadien    80</w:t>
      </w:r>
    </w:p>
    <w:p>
      <w:pPr>
        <w:ind w:left="420"/>
      </w:pPr>
      <w:r>
        <w:t xml:space="preserve">18. Haltungs- und Bewegungsorgane, rheumatische Krankheiten</w:t>
      </w:r>
    </w:p>
    <w:p>
      <w:r>
        <w:rPr>
          <w:rFonts w:ascii="Courier New" w:hAnsi="Courier New"/>
          <w:sz w:val="17"/>
        </w:rPr>
        <w:t xml:space="preserve">18.1 Allgemeines</w:t>
      </w:r>
    </w:p>
    <w:p>
      <w:r>
        <w:rPr>
          <w:rFonts w:ascii="Courier New" w:hAnsi="Courier New"/>
          <w:sz w:val="17"/>
        </w:rPr>
        <w:t xml:space="preserve">Dieser Abschnitt umfasst Haltungsschäden, degenerative Veränderungen, osteopenische Krankheiten, posttraumatische Zustände, chronische Osteomyelitis, entzündlich-rheumatische Krankheiten, Kollagenosen und Vaskulitiden sowie nichtentzündliche Krankheiten der Weichteile.</w:t>
      </w:r>
    </w:p>
    <w:p>
      <w:r>
        <w:rPr>
          <w:rFonts w:ascii="Courier New" w:hAnsi="Courier New"/>
          <w:sz w:val="17"/>
        </w:rPr>
        <w:t xml:space="preserve">Der GdS für angeborene und erworbene Schäden an den Haltungs- und Bewegungsorganen wird entscheidend bestimmt durch die Auswirkungen der Funktionsbeeinträchtigungen (Bewegungsbehinderung, Minderbelastbarkeit) und die Mitbeteiligung anderer Organsysteme. Die üblicher Weise auftretenden Beschwerden sind dabei mitberücksichtigt.</w:t>
      </w:r>
    </w:p>
    <w:p>
      <w:r>
        <w:rPr>
          <w:rFonts w:ascii="Courier New" w:hAnsi="Courier New"/>
          <w:sz w:val="17"/>
        </w:rPr>
        <w:t xml:space="preserve">Außergewöhnliche Schmerzen sind ggf. zusätzlich zu berücksichtigen. Schmerzhafte Bewegungseinschränkungen der Gelenke können schwerwiegender als eine Versteifung sein.</w:t>
      </w:r>
    </w:p>
    <w:p>
      <w:r>
        <w:rPr>
          <w:rFonts w:ascii="Courier New" w:hAnsi="Courier New"/>
          <w:sz w:val="17"/>
        </w:rPr>
        <w:t xml:space="preserve">Bei Haltungsschäden und/oder degenerativen Veränderungen an Gliedmaßengelenken und an der Wirbelsäule (z. B. Arthrose, Osteochondrose) sind auch Gelenkschwellungen, muskuläre Verspannungen, Kontrakturen oder Atrophien zu berücksichtigen.</w:t>
      </w:r>
    </w:p>
    <w:p>
      <w:r>
        <w:rPr>
          <w:rFonts w:ascii="Courier New" w:hAnsi="Courier New"/>
          <w:sz w:val="17"/>
        </w:rPr>
        <w:t xml:space="preserve">Mit Bild gebenden Verfahren festgestellte Veränderungen (z. B. degenerativer Art) allein rechtfertigen noch nicht die Annahme eines GdS. Ebenso kann die Tatsache, dass eine Operation an einer Gliedmaße oder an der Wirbelsäule (z. B. Meniskusoperation, Bandscheibenoperation, Synovialektomie) durchgeführt wurde, für sich allein nicht die Annahme eines GdS begründen.</w:t>
      </w:r>
    </w:p>
    <w:p>
      <w:r>
        <w:rPr>
          <w:rFonts w:ascii="Courier New" w:hAnsi="Courier New"/>
          <w:sz w:val="17"/>
        </w:rPr>
        <w:t xml:space="preserve">Das Funktionsausmaß der Gelenke wird im Folgenden nach der Neutral-Null-Methode angegeben.</w:t>
      </w:r>
    </w:p>
    <w:p>
      <w:r>
        <w:rPr>
          <w:rFonts w:ascii="Courier New" w:hAnsi="Courier New"/>
          <w:sz w:val="17"/>
        </w:rPr>
        <w:t xml:space="preserve">Fremdkörper beeinträchtigen die Funktion nicht, wenn sie in Muskel oder Knochen reaktionslos eingeheilt sind und durch ihre Lage keinen ungünstigen Einfluss auf Gelenke, Nerven oder Gefäße ausüben.</w:t>
      </w:r>
    </w:p>
    <w:p>
      <w:r>
        <w:rPr>
          <w:rFonts w:ascii="Courier New" w:hAnsi="Courier New"/>
          <w:sz w:val="17"/>
        </w:rPr>
        <w:t xml:space="preserve">Der GdS bei Weichteilverletzungen richtet sich nach der Funktionseinbuße und der Beeinträchtigung des Blut- und Lymphgefäßsystems. Bei Faszienverletzungen können Muskelbrüche auftreten, die nur in seltenen Fällen einen GdS bedingen.</w:t>
      </w:r>
    </w:p>
    <w:p>
      <w:r>
        <w:rPr>
          <w:rFonts w:ascii="Courier New" w:hAnsi="Courier New"/>
          <w:sz w:val="17"/>
        </w:rPr>
        <w:t xml:space="preserve">Bei den entzündlich-rheumatischen Krankheiten sind unter Beachtung der Krankheitsentwicklung neben der strukturellen und funktionellen Einbuße die Aktivität mit ihren Auswirkungen auf den Allgemeinzustand und die Beteiligung weiterer Organe zu berücksichtigen. Entsprechendes gilt für Kollagenosen und Vaskulitiden.</w:t>
      </w:r>
    </w:p>
    <w:p>
      <w:r>
        <w:rPr>
          <w:rFonts w:ascii="Courier New" w:hAnsi="Courier New"/>
          <w:sz w:val="17"/>
        </w:rPr>
        <w:t xml:space="preserve">Bei ausgeprägten osteopenischen Krankheiten (z. B. Osteoporose, Osteopenie bei hormonellen Störungen, gastrointestinalen Resorptionsstörungen, Nierenschäden) ist der GdS vor allem von der Funktionsbeeinträchtigung und den Schmerzen abhängig. Eine ausschließlich messtechnisch nachgewiesene Minderung des Knochenmineralgehalts rechtfertigt noch nicht die Annahme eines GdS.</w:t>
      </w:r>
    </w:p>
    <w:p>
      <w:r>
        <w:rPr>
          <w:rFonts w:ascii="Courier New" w:hAnsi="Courier New"/>
          <w:sz w:val="17"/>
        </w:rPr>
        <w:t xml:space="preserve">18.2.1 Entzündlich-rheumatische Krankheiten (z. B. Bechterew-Krankheit)    </w:t>
      </w:r>
    </w:p>
    <w:p>
      <w:r>
        <w:rPr>
          <w:rFonts w:ascii="Courier New" w:hAnsi="Courier New"/>
          <w:sz w:val="17"/>
        </w:rPr>
        <w:t xml:space="preserve">    ohne wesentliche Funktionseinschränkung mit leichten Beschwerden    10</w:t>
      </w:r>
    </w:p>
    <w:p>
      <w:r>
        <w:rPr>
          <w:rFonts w:ascii="Courier New" w:hAnsi="Courier New"/>
          <w:sz w:val="17"/>
        </w:rPr>
        <w:t xml:space="preserve">    mit geringen Auswirkungen    </w:t>
      </w:r>
    </w:p>
    <w:p>
      <w:r>
        <w:rPr>
          <w:rFonts w:ascii="Courier New" w:hAnsi="Courier New"/>
          <w:sz w:val="17"/>
        </w:rPr>
        <w:t xml:space="preserve">    (leichtgradige Funktionseinbußen und Beschwerden, je nach Art und Umfang des Gelenkbefalls, geringe Krankheitsaktivität)    20-40</w:t>
      </w:r>
    </w:p>
    <w:p>
      <w:r>
        <w:rPr>
          <w:rFonts w:ascii="Courier New" w:hAnsi="Courier New"/>
          <w:sz w:val="17"/>
        </w:rPr>
        <w:t xml:space="preserve">    mit mittelgradigen Auswirkungen    </w:t>
      </w:r>
    </w:p>
    <w:p>
      <w:r>
        <w:rPr>
          <w:rFonts w:ascii="Courier New" w:hAnsi="Courier New"/>
          <w:sz w:val="17"/>
        </w:rPr>
        <w:t xml:space="preserve">    (dauernde erhebliche Funktionseinbußen und Beschwerden, therapeutisch schwer beeinflussbare Krankheitsaktivität)    50-70</w:t>
      </w:r>
    </w:p>
    <w:p>
      <w:r>
        <w:rPr>
          <w:rFonts w:ascii="Courier New" w:hAnsi="Courier New"/>
          <w:sz w:val="17"/>
        </w:rPr>
        <w:t xml:space="preserve">    mit schweren Auswirkungen    </w:t>
      </w:r>
    </w:p>
    <w:p>
      <w:r>
        <w:rPr>
          <w:rFonts w:ascii="Courier New" w:hAnsi="Courier New"/>
          <w:sz w:val="17"/>
        </w:rPr>
        <w:t xml:space="preserve">    (irreversible Funktionseinbußen, hochgradige Progredienz)    80-100</w:t>
      </w:r>
    </w:p>
    <w:p>
      <w:r>
        <w:rPr>
          <w:rFonts w:ascii="Courier New" w:hAnsi="Courier New"/>
          <w:sz w:val="17"/>
        </w:rPr>
        <w:t xml:space="preserve">Auswirkungen über sechs Monate anhaltender aggressiver Therapien sind gegebenenfalls zusätzlich zu berücksichtigen.</w:t>
      </w:r>
    </w:p>
    <w:p>
      <w:r>
        <w:rPr>
          <w:rFonts w:ascii="Courier New" w:hAnsi="Courier New"/>
          <w:sz w:val="17"/>
        </w:rPr>
        <w:t xml:space="preserve">18.2.2 Kollagenosen (z. B. systemischer Lupus erythematodes, progressiv-systemische Sklerose, Polymyositis/Dermatomyositis),</w:t>
      </w:r>
    </w:p>
    <w:p>
      <w:r>
        <w:rPr>
          <w:rFonts w:ascii="Courier New" w:hAnsi="Courier New"/>
          <w:sz w:val="17"/>
        </w:rPr>
        <w:t xml:space="preserve">18.2.3 Vaskulitiden (z. B. Panarteriitis nodosa, Polymyalgia rheumatica)    </w:t>
      </w:r>
    </w:p>
    <w:p>
      <w:r>
        <w:rPr>
          <w:rFonts w:ascii="Courier New" w:hAnsi="Courier New"/>
          <w:sz w:val="17"/>
        </w:rPr>
        <w:t xml:space="preserve">    Die Beurteilung des GdS bei Kollagenosen und Vaskulitiden richtet sich nach Art und Ausmaß der jeweiligen Organbeteiligung sowie den Auswirkungen auf den Allgemeinzustand, wobei auch eine Analogie zu den Muskelkrankheiten in Betracht kommen kann. Für die Dauer einer über sechs Monate anhaltenden aggressiven Therapie soll ein GdS von 50 nicht unterschritten werden.</w:t>
      </w:r>
    </w:p>
    <w:p>
      <w:r>
        <w:rPr>
          <w:rFonts w:ascii="Courier New" w:hAnsi="Courier New"/>
          <w:sz w:val="17"/>
        </w:rPr>
        <w:t xml:space="preserve">18.3 Bei der Beurteilung nicht-entzündlicher Krankheiten der Weichteile kommt es auf Art und Ausmaß der jeweiligen Organbeteiligung sowie auf die Auswirkungen auf den Allgemeinzustand an.</w:t>
      </w:r>
    </w:p>
    <w:p>
      <w:r>
        <w:rPr>
          <w:rFonts w:ascii="Courier New" w:hAnsi="Courier New"/>
          <w:sz w:val="17"/>
        </w:rPr>
        <w:t xml:space="preserve">18.4 Fibromyalgie    </w:t>
      </w:r>
    </w:p>
    <w:p>
      <w:r>
        <w:rPr>
          <w:rFonts w:ascii="Courier New" w:hAnsi="Courier New"/>
          <w:sz w:val="17"/>
        </w:rPr>
        <w:t xml:space="preserve">    Die Fibromyalgie, das Chronische Fatigue Syndrom (CFS), die Multiple Chemical Sensitivity (MCS) und ähnliche Syndrome sind jeweils im Einzelfall entsprechend der funktionellen Auswirkungen analog zu beurteilen.</w:t>
      </w:r>
    </w:p>
    <w:p>
      <w:r>
        <w:rPr>
          <w:rFonts w:ascii="Courier New" w:hAnsi="Courier New"/>
          <w:sz w:val="17"/>
        </w:rPr>
        <w:t xml:space="preserve">18.5 Chronische Osteomyelitis    </w:t>
      </w:r>
    </w:p>
    <w:p>
      <w:r>
        <w:rPr>
          <w:rFonts w:ascii="Courier New" w:hAnsi="Courier New"/>
          <w:sz w:val="17"/>
        </w:rPr>
        <w:t xml:space="preserve">    Bei der Beurteilung des GdS sind die aus der Lokalisation und Ausdehnung des Prozesses sich ergebende Funktionsstörung, die dem Prozess innewohnende Aktivität und ihre Auswirkungen auf den Allgemeinzustand und außerdem etwaige Folgekrankheiten (z. B. Anämie, Amyloidose) zu berücksichtigen. Bei ausgeprägt schubförmigem Verlauf ist ein Durchschnitts-GdS zu bilden.</w:t>
      </w:r>
    </w:p>
    <w:p>
      <w:r>
        <w:rPr>
          <w:rFonts w:ascii="Courier New" w:hAnsi="Courier New"/>
          <w:sz w:val="17"/>
        </w:rPr>
        <w:t xml:space="preserve">Ruhende Osteomyelitis (Inaktivität wenigstens 5 Jahre)    0-10</w:t>
      </w:r>
    </w:p>
    <w:p>
      <w:r>
        <w:rPr>
          <w:rFonts w:ascii="Courier New" w:hAnsi="Courier New"/>
          <w:sz w:val="17"/>
        </w:rPr>
        <w:t xml:space="preserve">Chronische Osteomyelitis    </w:t>
      </w:r>
    </w:p>
    <w:p>
      <w:r>
        <w:rPr>
          <w:rFonts w:ascii="Courier New" w:hAnsi="Courier New"/>
          <w:sz w:val="17"/>
        </w:rPr>
        <w:t xml:space="preserve">    geringen Grades    </w:t>
      </w:r>
    </w:p>
    <w:p>
      <w:r>
        <w:rPr>
          <w:rFonts w:ascii="Courier New" w:hAnsi="Courier New"/>
          <w:sz w:val="17"/>
        </w:rPr>
        <w:t xml:space="preserve">    (eng begrenzt, mit geringer Aktivität, geringe Fisteleiterung)    mindestens 20</w:t>
      </w:r>
    </w:p>
    <w:p>
      <w:r>
        <w:rPr>
          <w:rFonts w:ascii="Courier New" w:hAnsi="Courier New"/>
          <w:sz w:val="17"/>
        </w:rPr>
        <w:t xml:space="preserve">    mittleren Grades    </w:t>
      </w:r>
    </w:p>
    <w:p>
      <w:r>
        <w:rPr>
          <w:rFonts w:ascii="Courier New" w:hAnsi="Courier New"/>
          <w:sz w:val="17"/>
        </w:rPr>
        <w:t xml:space="preserve">    (ausgedehnterer Prozess, häufige oder ständige Fisteleiterung, Aktivitätszeichen auch in Laborbefunden)    mindestens 50</w:t>
      </w:r>
    </w:p>
    <w:p>
      <w:r>
        <w:rPr>
          <w:rFonts w:ascii="Courier New" w:hAnsi="Courier New"/>
          <w:sz w:val="17"/>
        </w:rPr>
        <w:t xml:space="preserve">    schweren Grades    </w:t>
      </w:r>
    </w:p>
    <w:p>
      <w:r>
        <w:rPr>
          <w:rFonts w:ascii="Courier New" w:hAnsi="Courier New"/>
          <w:sz w:val="17"/>
        </w:rPr>
        <w:t xml:space="preserve">    (häufige schwere Schübe mit Fieber, ausgeprägter Infiltration der Weichteile, Eiterung und Sequesterabstoßung, erhebliche Aktivitätszeichen in den Laborbefunden)    mindestens 70</w:t>
      </w:r>
    </w:p>
    <w:p>
      <w:r>
        <w:rPr>
          <w:rFonts w:ascii="Courier New" w:hAnsi="Courier New"/>
          <w:sz w:val="17"/>
        </w:rPr>
        <w:t xml:space="preserve">Eine wesentliche Besserung wegen Beruhigung des Prozesses kann erst angenommen werden, wenn nach einem Leidensverlauf von mehreren Jahren seit wenigstens zwei Jahren - nach jahrzehntelangem Verlauf seit fünf Jahren - keine Fistel mehr bestanden hat und auch aus den weiteren Befunden (einschließlich Röntgenbildern und Laborbefunden) keine Aktivitätszeichen mehr erkennbar gewesen sind. Dabei ist in der Regel der GdS nur um 20 bis 30 Punkte niedriger einzuschätzen und zwei bis vier Jahre lang noch eine weitere Heilungsbewährung abzuwarten, bis der GdS nur noch von dem verbliebenen Schaden bestimmt wird.</w:t>
      </w:r>
    </w:p>
    <w:p>
      <w:r>
        <w:rPr>
          <w:rFonts w:ascii="Courier New" w:hAnsi="Courier New"/>
          <w:sz w:val="17"/>
        </w:rPr>
        <w:t xml:space="preserve">18.6 Muskelkrankheiten    </w:t>
      </w:r>
    </w:p>
    <w:p>
      <w:r>
        <w:rPr>
          <w:rFonts w:ascii="Courier New" w:hAnsi="Courier New"/>
          <w:sz w:val="17"/>
        </w:rPr>
        <w:t xml:space="preserve">Bei der Beurteilung des GdS ist von folgenden Funktionsbeeinträchtigungen auszugehen:</w:t>
      </w:r>
    </w:p>
    <w:p>
      <w:r>
        <w:rPr>
          <w:rFonts w:ascii="Courier New" w:hAnsi="Courier New"/>
          <w:sz w:val="17"/>
        </w:rPr>
        <w:t xml:space="preserve">Muskelschwäche    </w:t>
      </w:r>
    </w:p>
    <w:p>
      <w:r>
        <w:rPr>
          <w:rFonts w:ascii="Courier New" w:hAnsi="Courier New"/>
          <w:sz w:val="17"/>
        </w:rPr>
        <w:t xml:space="preserve">    mit geringen Auswirkungen (vorzeitige Ermüdung, gebrauchsabhängige Unsicherheiten)    20-40</w:t>
      </w:r>
    </w:p>
    <w:p>
      <w:r>
        <w:rPr>
          <w:rFonts w:ascii="Courier New" w:hAnsi="Courier New"/>
          <w:sz w:val="17"/>
        </w:rPr>
        <w:t xml:space="preserve">    mit mittelgradigen Auswirkungen (zunehmende Gelenkkontrakturen und Deformitäten, Aufrichten aus dem Liegen nicht mehr möglich, Unmöglichkeit des Treppensteigens)    50-80</w:t>
      </w:r>
    </w:p>
    <w:p>
      <w:r>
        <w:rPr>
          <w:rFonts w:ascii="Courier New" w:hAnsi="Courier New"/>
          <w:sz w:val="17"/>
        </w:rPr>
        <w:t xml:space="preserve">    mit schweren Auswirkungen (bis zur Geh- und Stehunfähigkeit und Gebrauchsunfähigkeit der Arme)    90-100</w:t>
      </w:r>
    </w:p>
    <w:p>
      <w:r>
        <w:rPr>
          <w:rFonts w:ascii="Courier New" w:hAnsi="Courier New"/>
          <w:sz w:val="17"/>
        </w:rPr>
        <w:t xml:space="preserve">    Zusätzlich sind bei einzelnen Muskelkrankheiten Auswirkungen auf innere Organe (z. B. Einschränkung der Lungenfunktion und/oder der Herzleistung durch Brustkorbdeformierung) oder Augenmuskel-, Schluck- oder Sprechstörungen (z. B. bei der Myasthenie) zu berücksichtigen.</w:t>
      </w:r>
    </w:p>
    <w:p>
      <w:r>
        <w:rPr>
          <w:rFonts w:ascii="Courier New" w:hAnsi="Courier New"/>
          <w:sz w:val="17"/>
        </w:rPr>
        <w:t xml:space="preserve">18.7 Kleinwuchs    </w:t>
      </w:r>
    </w:p>
    <w:p>
      <w:r>
        <w:rPr>
          <w:rFonts w:ascii="Courier New" w:hAnsi="Courier New"/>
          <w:sz w:val="17"/>
        </w:rPr>
        <w:t xml:space="preserve">Körpergröße nach Abschluss des Wachstums    </w:t>
      </w:r>
    </w:p>
    <w:p>
      <w:r>
        <w:rPr>
          <w:rFonts w:ascii="Courier New" w:hAnsi="Courier New"/>
          <w:sz w:val="17"/>
        </w:rPr>
        <w:t xml:space="preserve">    über 130 bis 140 cm    30-40</w:t>
      </w:r>
    </w:p>
    <w:p>
      <w:r>
        <w:rPr>
          <w:rFonts w:ascii="Courier New" w:hAnsi="Courier New"/>
          <w:sz w:val="17"/>
        </w:rPr>
        <w:t xml:space="preserve">    über 120 bis 130 cm    50</w:t>
      </w:r>
    </w:p>
    <w:p>
      <w:r>
        <w:rPr>
          <w:rFonts w:ascii="Courier New" w:hAnsi="Courier New"/>
          <w:sz w:val="17"/>
        </w:rPr>
        <w:t xml:space="preserve">    Bei 120 cm und darunter kommen entsprechend höhere Werte in Betracht.Dieser GdS ist auf harmonischen Körperbau bezogen.    </w:t>
      </w:r>
    </w:p>
    <w:p>
      <w:r>
        <w:rPr>
          <w:rFonts w:ascii="Courier New" w:hAnsi="Courier New"/>
          <w:sz w:val="17"/>
        </w:rPr>
        <w:t xml:space="preserve">Zusätzlich zu berücksichtigen sind (z. B. bei Achondroplasie, bei Osteogenesis imperfecta) mit dem Kleinwuchs verbundene Störungen wie    </w:t>
      </w:r>
    </w:p>
    <w:p>
      <w:r>
        <w:rPr>
          <w:rFonts w:ascii="Courier New" w:hAnsi="Courier New"/>
          <w:sz w:val="17"/>
        </w:rPr>
        <w:t xml:space="preserve">    mangelhafte Körperproportionen,    </w:t>
      </w:r>
    </w:p>
    <w:p>
      <w:r>
        <w:rPr>
          <w:rFonts w:ascii="Courier New" w:hAnsi="Courier New"/>
          <w:sz w:val="17"/>
        </w:rPr>
        <w:t xml:space="preserve">    Verbildungen der Gliedmaßen,    </w:t>
      </w:r>
    </w:p>
    <w:p>
      <w:r>
        <w:rPr>
          <w:rFonts w:ascii="Courier New" w:hAnsi="Courier New"/>
          <w:sz w:val="17"/>
        </w:rPr>
        <w:t xml:space="preserve">    Störungen der Gelenkfunktion, Muskelfunktion und Statik,    </w:t>
      </w:r>
    </w:p>
    <w:p>
      <w:r>
        <w:rPr>
          <w:rFonts w:ascii="Courier New" w:hAnsi="Courier New"/>
          <w:sz w:val="17"/>
        </w:rPr>
        <w:t xml:space="preserve">    neurologische Störungen,    </w:t>
      </w:r>
    </w:p>
    <w:p>
      <w:r>
        <w:rPr>
          <w:rFonts w:ascii="Courier New" w:hAnsi="Courier New"/>
          <w:sz w:val="17"/>
        </w:rPr>
        <w:t xml:space="preserve">    Einschränkungen der Sinnesorgane,    </w:t>
      </w:r>
    </w:p>
    <w:p>
      <w:r>
        <w:rPr>
          <w:rFonts w:ascii="Courier New" w:hAnsi="Courier New"/>
          <w:sz w:val="17"/>
        </w:rPr>
        <w:t xml:space="preserve">    endokrine Ausfälle und    </w:t>
      </w:r>
    </w:p>
    <w:p>
      <w:r>
        <w:rPr>
          <w:rFonts w:ascii="Courier New" w:hAnsi="Courier New"/>
          <w:sz w:val="17"/>
        </w:rPr>
        <w:t xml:space="preserve">    außergewöhnliche psychoreaktive Störungen.    </w:t>
      </w:r>
    </w:p>
    <w:p>
      <w:r>
        <w:rPr>
          <w:rFonts w:ascii="Courier New" w:hAnsi="Courier New"/>
          <w:sz w:val="17"/>
        </w:rPr>
        <w:t xml:space="preserve">18.8 Großwuchs    </w:t>
      </w:r>
    </w:p>
    <w:p>
      <w:r>
        <w:rPr>
          <w:rFonts w:ascii="Courier New" w:hAnsi="Courier New"/>
          <w:sz w:val="17"/>
        </w:rPr>
        <w:t xml:space="preserve">Großwuchs allein rechtfertigt noch nicht die Annahme eines GdS. Auf psychoreaktive Störungen ist besonders zu achten.</w:t>
      </w:r>
    </w:p>
    <w:p>
      <w:r>
        <w:rPr>
          <w:rFonts w:ascii="Courier New" w:hAnsi="Courier New"/>
          <w:sz w:val="17"/>
        </w:rPr>
        <w:t xml:space="preserve">18.9 Wirbelsäulenschäden    </w:t>
      </w:r>
    </w:p>
    <w:p>
      <w:r>
        <w:rPr>
          <w:rFonts w:ascii="Courier New" w:hAnsi="Courier New"/>
          <w:sz w:val="17"/>
        </w:rPr>
        <w:t xml:space="preserve">Der GdS bei angeborenen und erworbenen Wirbelsäulenschäden (einschließlich Bandscheibenschäden, Scheuermann-Krankheit, Spondylolisthesis, Spinalkanalstenose und dem sogenannten Postdiskotomiesyndrom) ergibt sich primär aus dem Ausmaß der Bewegungseinschränkung, der Wirbelsäulenverformung und -instabilität sowie aus der Anzahl der betroffenen Wirbelsäulenabschnitte.</w:t>
      </w:r>
    </w:p>
    <w:p>
      <w:r>
        <w:rPr>
          <w:rFonts w:ascii="Courier New" w:hAnsi="Courier New"/>
          <w:sz w:val="17"/>
        </w:rPr>
        <w:t xml:space="preserve">Der Begriff Instabilität beinhaltet die abnorme Beweglichkeit zweier Wirbel gegeneinander unter physiologischer Belastung und die daraus resultierenden Weichteilveränderungen und Schmerzen. Sogenannte Wirbelsäulensyndrome (wie Schulter-Arm-Syndrom, Lumbalsyndrom, Ischialgie, sowie andere Nerven- und Muskelreizerscheinungen) können bei Instabilität und bei Einengungen des Spinalkanals oder der Zwischenwirbellöcher auftreten.</w:t>
      </w:r>
    </w:p>
    <w:p>
      <w:r>
        <w:rPr>
          <w:rFonts w:ascii="Courier New" w:hAnsi="Courier New"/>
          <w:sz w:val="17"/>
        </w:rPr>
        <w:t xml:space="preserve">Für die Bewertung von chronisch-rezidivierenden Bandscheibensyndromen sind aussagekräftige anamnestische Daten und klinische Untersuchungsbefunde über einen ausreichend langen Zeitraum von besonderer Bedeutung. Im beschwerdefreien Intervall können die objektiven Untersuchungsbefunde nur gering ausgeprägt sein.</w:t>
      </w:r>
    </w:p>
    <w:p>
      <w:r>
        <w:rPr>
          <w:rFonts w:ascii="Courier New" w:hAnsi="Courier New"/>
          <w:sz w:val="17"/>
        </w:rPr>
        <w:t xml:space="preserve">Wirbelsäulenschäden    </w:t>
      </w:r>
    </w:p>
    <w:p>
      <w:r>
        <w:rPr>
          <w:rFonts w:ascii="Courier New" w:hAnsi="Courier New"/>
          <w:sz w:val="17"/>
        </w:rPr>
        <w:t xml:space="preserve">    ohne Bewegungseinschränkung oder Instabilität    0</w:t>
      </w:r>
    </w:p>
    <w:p>
      <w:r>
        <w:rPr>
          <w:rFonts w:ascii="Courier New" w:hAnsi="Courier New"/>
          <w:sz w:val="17"/>
        </w:rPr>
        <w:t xml:space="preserve">    mit geringen funktionellen Auswirkungen (Verformung, rezidivierende oder anhaltende Bewegungseinschränkung oder Instabilität geringen Grades, seltene und kurz dauernd auftretende leichte Wirbelsäulensyndrome)    10</w:t>
      </w:r>
    </w:p>
    <w:p>
      <w:r>
        <w:rPr>
          <w:rFonts w:ascii="Courier New" w:hAnsi="Courier New"/>
          <w:sz w:val="17"/>
        </w:rPr>
        <w:t xml:space="preserve">    mit mittelgradigen funktionellen Auswirkungen in einem Wirbelsäulenabschnitt (Verformung, häufig rezidivierende oder anhaltende Bewegungseinschränkung oder Instabilität mittleren Grades, häufig rezidivierende und über Tage andauernde Wirbelsäulensyndrome)    20</w:t>
      </w:r>
    </w:p>
    <w:p>
      <w:r>
        <w:rPr>
          <w:rFonts w:ascii="Courier New" w:hAnsi="Courier New"/>
          <w:sz w:val="17"/>
        </w:rPr>
        <w:t xml:space="preserve">    mit schweren funktionellen Auswirkungen in einem Wirbelsäulenabschnitt (Verformung, häufig rezidivierende oder anhaltende Bewegungseinschränkung oder Instabilität schweren Grades, häufig rezidivierende und Wochen andauernde ausgeprägte Wirbelsäulensyndrome)    30</w:t>
      </w:r>
    </w:p>
    <w:p>
      <w:r>
        <w:rPr>
          <w:rFonts w:ascii="Courier New" w:hAnsi="Courier New"/>
          <w:sz w:val="17"/>
        </w:rPr>
        <w:t xml:space="preserve">    mit mittelgradigen bis schweren funktionellen Auswirkungen in zwei Wirbelsäulenabschnitten    30-40</w:t>
      </w:r>
    </w:p>
    <w:p>
      <w:r>
        <w:rPr>
          <w:rFonts w:ascii="Courier New" w:hAnsi="Courier New"/>
          <w:sz w:val="17"/>
        </w:rPr>
        <w:t xml:space="preserve">    mit besonders schweren Auswirkungen (z. B. Versteifung großer Teile der Wirbelsäule; anhaltende Ruhigstellung durch Rumpforthese, die drei Wirbelsäulenabschnitte umfasst [z. B. Milwaukee-Korsett]; schwere Skoliose [ab ca. 70° nach Cobb])    50-70</w:t>
      </w:r>
    </w:p>
    <w:p>
      <w:r>
        <w:rPr>
          <w:rFonts w:ascii="Courier New" w:hAnsi="Courier New"/>
          <w:sz w:val="17"/>
        </w:rPr>
        <w:t xml:space="preserve">    bei schwerster Belastungsinsuffizienz bis zur Geh- und Stehunfähigkeit    80-100</w:t>
      </w:r>
    </w:p>
    <w:p>
      <w:r>
        <w:rPr>
          <w:rFonts w:ascii="Courier New" w:hAnsi="Courier New"/>
          <w:sz w:val="17"/>
        </w:rPr>
        <w:t xml:space="preserve">Anhaltende Funktionsstörungen infolge Wurzelkompression mit motorischen Ausfallerscheinungen - oder auch die intermittierenden Störungen bei der Spinalkanalstenose - sowie Auswirkungen auf die inneren Organe (z. B. Atemfunktionsstörungen) sind zusätzlich zu berücksichtigen.</w:t>
      </w:r>
    </w:p>
    <w:p>
      <w:r>
        <w:rPr>
          <w:rFonts w:ascii="Courier New" w:hAnsi="Courier New"/>
          <w:sz w:val="17"/>
        </w:rPr>
        <w:t xml:space="preserve">Bei außergewöhnlichen Schmerzsyndromen kann auch ohne nachweisbare neurologische Ausfallerscheinungen (z. B. Postdiskotomiesyndrom) ein GdS über 30 in Betracht kommen.</w:t>
      </w:r>
    </w:p>
    <w:p>
      <w:r>
        <w:rPr>
          <w:rFonts w:ascii="Courier New" w:hAnsi="Courier New"/>
          <w:sz w:val="17"/>
        </w:rPr>
        <w:t xml:space="preserve">Das neurogene Hinken ist etwas günstiger als vergleichbare Einschränkungen des Gehvermögens bei arteriellen Verschlusskrankheiten zu bewerten.</w:t>
      </w:r>
    </w:p>
    <w:p>
      <w:r>
        <w:rPr>
          <w:rFonts w:ascii="Courier New" w:hAnsi="Courier New"/>
          <w:sz w:val="17"/>
        </w:rPr>
        <w:t xml:space="preserve">18.10 Beckenschäden    </w:t>
      </w:r>
    </w:p>
    <w:p>
      <w:r>
        <w:rPr>
          <w:rFonts w:ascii="Courier New" w:hAnsi="Courier New"/>
          <w:sz w:val="17"/>
        </w:rPr>
        <w:t xml:space="preserve">    ohne funktionelle Auswirkungen    0</w:t>
      </w:r>
    </w:p>
    <w:p>
      <w:r>
        <w:rPr>
          <w:rFonts w:ascii="Courier New" w:hAnsi="Courier New"/>
          <w:sz w:val="17"/>
        </w:rPr>
        <w:t xml:space="preserve">    mit geringen funktionellen Auswirkungen (z. B. stabiler Beckenring, degenerative Veränderungen der Kreuz-Darmbeingelenke)    10</w:t>
      </w:r>
    </w:p>
    <w:p>
      <w:r>
        <w:rPr>
          <w:rFonts w:ascii="Courier New" w:hAnsi="Courier New"/>
          <w:sz w:val="17"/>
        </w:rPr>
        <w:t xml:space="preserve">    mit mittelgradigen funktionellen Auswirkungen (z. B. instabiler Beckenring einschließlich Sekundärarthrose)    20</w:t>
      </w:r>
    </w:p>
    <w:p>
      <w:r>
        <w:rPr>
          <w:rFonts w:ascii="Courier New" w:hAnsi="Courier New"/>
          <w:sz w:val="17"/>
        </w:rPr>
        <w:t xml:space="preserve">    mit schweren funktionellen Auswirkungen und Deformierung    30-40</w:t>
      </w:r>
    </w:p>
    <w:p>
      <w:r>
        <w:rPr>
          <w:rFonts w:ascii="Courier New" w:hAnsi="Courier New"/>
          <w:sz w:val="17"/>
        </w:rPr>
        <w:t xml:space="preserve">18.11 Gliedmaßenschäden, Allgemeines    </w:t>
      </w:r>
    </w:p>
    <w:p>
      <w:r>
        <w:rPr>
          <w:rFonts w:ascii="Courier New" w:hAnsi="Courier New"/>
          <w:sz w:val="17"/>
        </w:rPr>
        <w:t xml:space="preserve">Der GdS bei Gliedmaßenschäden ergibt sich aus dem Vergleich mit dem GdS für entsprechende Gliedverluste. Trotz erhaltener Extremität kann der Zustand gelegentlich ungünstiger sein als der Verlust.</w:t>
      </w:r>
    </w:p>
    <w:p>
      <w:r>
        <w:rPr>
          <w:rFonts w:ascii="Courier New" w:hAnsi="Courier New"/>
          <w:sz w:val="17"/>
        </w:rPr>
        <w:t xml:space="preserve">Die aufgeführten GdS für Gliedmaßenverluste gehen - soweit nichts anderes erwähnt ist - von günstigen Verhältnissen des Stumpfes und der benachbarten Gelenke aus. Bei ausgesprochen ungünstigen Stumpfverhältnissen, bei nicht nur vorübergehenden Stumpfkrankheiten sowie bei nicht unwesentlicher Funktionsbeeinträchtigung des benachbarten Gelenkes sind diese Sätze im allgemeinen um 10 zu erhöhen, unabhängig davon, ob Körperersatzstücke getragen werden oder nicht.</w:t>
      </w:r>
    </w:p>
    <w:p>
      <w:r>
        <w:rPr>
          <w:rFonts w:ascii="Courier New" w:hAnsi="Courier New"/>
          <w:sz w:val="17"/>
        </w:rPr>
        <w:t xml:space="preserve">Körperersatzstücke, orthopädische und andere Hilfsmittel mindern bei Verlust und Funktionsstörungen der Gliedmaßen sowie bei Funktionseinschränkungen des Rumpfes die Auswirkungen der Behinderung, ohne dass dadurch der durch den Schaden allein bedingte GdS eine Änderung erfährt.</w:t>
      </w:r>
    </w:p>
    <w:p>
      <w:r>
        <w:rPr>
          <w:rFonts w:ascii="Courier New" w:hAnsi="Courier New"/>
          <w:sz w:val="17"/>
        </w:rPr>
        <w:t xml:space="preserve">Bei der Bewertung des GdS von Pseudarthrosen ist zu berücksichtigen, dass straffe Pseudarthrosen günstiger sind als schlaffe.</w:t>
      </w:r>
    </w:p>
    <w:p>
      <w:r>
        <w:rPr>
          <w:rFonts w:ascii="Courier New" w:hAnsi="Courier New"/>
          <w:sz w:val="17"/>
        </w:rPr>
        <w:t xml:space="preserve">Bei habituellen Luxationen richtet sich die Höhe des GdS außer nach der Funktionsbeeinträchtigung der Gliedmaße auch nach der Häufigkeit der Ausrenkungen.</w:t>
      </w:r>
    </w:p>
    <w:p>
      <w:r>
        <w:rPr>
          <w:rFonts w:ascii="Courier New" w:hAnsi="Courier New"/>
          <w:sz w:val="17"/>
        </w:rPr>
        <w:t xml:space="preserve">18.12 Endoprothesen</w:t>
      </w:r>
    </w:p>
    <w:p>
      <w:r>
        <w:rPr>
          <w:rFonts w:ascii="Courier New" w:hAnsi="Courier New"/>
          <w:sz w:val="17"/>
        </w:rPr>
        <w:t xml:space="preserve">Es werden Mindest-GdS angegeben, die für Endoprothesen bei bestmöglichem Behandlungsergebnis gelten. Bei eingeschränkter Versorgungsqualität sind höhere Werte angemessen.Die Versorgungsqualität kann insbesondere beeinträchtigt sein durch    </w:t>
      </w:r>
    </w:p>
    <w:p>
      <w:r>
        <w:rPr>
          <w:rFonts w:ascii="Courier New" w:hAnsi="Courier New"/>
          <w:sz w:val="17"/>
        </w:rPr>
        <w:t xml:space="preserve">- Beweglichkeits- und Belastungseinschränkung,    </w:t>
      </w:r>
    </w:p>
    <w:p>
      <w:r>
        <w:rPr>
          <w:rFonts w:ascii="Courier New" w:hAnsi="Courier New"/>
          <w:sz w:val="17"/>
        </w:rPr>
        <w:t xml:space="preserve">- Nervenschädigung,    </w:t>
      </w:r>
    </w:p>
    <w:p>
      <w:r>
        <w:rPr>
          <w:rFonts w:ascii="Courier New" w:hAnsi="Courier New"/>
          <w:sz w:val="17"/>
        </w:rPr>
        <w:t xml:space="preserve">- deutliche Muskelminderung,    </w:t>
      </w:r>
    </w:p>
    <w:p>
      <w:r>
        <w:rPr>
          <w:rFonts w:ascii="Courier New" w:hAnsi="Courier New"/>
          <w:sz w:val="17"/>
        </w:rPr>
        <w:t xml:space="preserve">- ausgeprägte Narbenbildung,    </w:t>
      </w:r>
    </w:p>
    <w:p>
      <w:r>
        <w:rPr>
          <w:rFonts w:ascii="Courier New" w:hAnsi="Courier New"/>
          <w:sz w:val="17"/>
        </w:rPr>
        <w:t xml:space="preserve">Die in der GdS-Tabelle angegebenen Werte schließen die bei der jeweiligen Versorgungsart üblicherweise gebotenen Beschränkungen ein.    </w:t>
      </w:r>
    </w:p>
    <w:p>
      <w:r>
        <w:rPr>
          <w:rFonts w:ascii="Courier New" w:hAnsi="Courier New"/>
          <w:sz w:val="17"/>
        </w:rPr>
        <w:t xml:space="preserve">Hüftgelenk    </w:t>
      </w:r>
    </w:p>
    <w:p>
      <w:r>
        <w:rPr>
          <w:rFonts w:ascii="Courier New" w:hAnsi="Courier New"/>
          <w:sz w:val="17"/>
        </w:rPr>
        <w:t xml:space="preserve">    bei einseitiger Endoprothese beträgt der GdS mindestens    10</w:t>
      </w:r>
    </w:p>
    <w:p>
      <w:r>
        <w:rPr>
          <w:rFonts w:ascii="Courier New" w:hAnsi="Courier New"/>
          <w:sz w:val="17"/>
        </w:rPr>
        <w:t xml:space="preserve">    bei beidseitiger Endoprothese beträgt der GdS mindestens    20</w:t>
      </w:r>
    </w:p>
    <w:p>
      <w:r>
        <w:rPr>
          <w:rFonts w:ascii="Courier New" w:hAnsi="Courier New"/>
          <w:sz w:val="17"/>
        </w:rPr>
        <w:t xml:space="preserve">Kniegelenk    </w:t>
      </w:r>
    </w:p>
    <w:p>
      <w:r>
        <w:rPr>
          <w:rFonts w:ascii="Courier New" w:hAnsi="Courier New"/>
          <w:sz w:val="17"/>
        </w:rPr>
        <w:t xml:space="preserve">    bei einseitiger Totalendoprothese beträgt der GdS mindestens    20</w:t>
      </w:r>
    </w:p>
    <w:p>
      <w:r>
        <w:rPr>
          <w:rFonts w:ascii="Courier New" w:hAnsi="Courier New"/>
          <w:sz w:val="17"/>
        </w:rPr>
        <w:t xml:space="preserve">    bei beidseitiger Totalendoprothese beträgt der GdS mindestens    30</w:t>
      </w:r>
    </w:p>
    <w:p>
      <w:r>
        <w:rPr>
          <w:rFonts w:ascii="Courier New" w:hAnsi="Courier New"/>
          <w:sz w:val="17"/>
        </w:rPr>
        <w:t xml:space="preserve">    bei einseitiger Teilendoprothese beträgt der GdS mindestens    10</w:t>
      </w:r>
    </w:p>
    <w:p>
      <w:r>
        <w:rPr>
          <w:rFonts w:ascii="Courier New" w:hAnsi="Courier New"/>
          <w:sz w:val="17"/>
        </w:rPr>
        <w:t xml:space="preserve">    bei beidseitiger Teilendoprothese beträgt der GdS mindestens    20</w:t>
      </w:r>
    </w:p>
    <w:p>
      <w:r>
        <w:rPr>
          <w:rFonts w:ascii="Courier New" w:hAnsi="Courier New"/>
          <w:sz w:val="17"/>
        </w:rPr>
        <w:t xml:space="preserve">Oberes Sprunggelenk    </w:t>
      </w:r>
    </w:p>
    <w:p>
      <w:r>
        <w:rPr>
          <w:rFonts w:ascii="Courier New" w:hAnsi="Courier New"/>
          <w:sz w:val="17"/>
        </w:rPr>
        <w:t xml:space="preserve">    bei einseitiger Endoprothese beträgt der GdS mindestens    10</w:t>
      </w:r>
    </w:p>
    <w:p>
      <w:r>
        <w:rPr>
          <w:rFonts w:ascii="Courier New" w:hAnsi="Courier New"/>
          <w:sz w:val="17"/>
        </w:rPr>
        <w:t xml:space="preserve">    bei beidseitiger Endoprothese beträgt der GdS mindestens    20</w:t>
      </w:r>
    </w:p>
    <w:p>
      <w:r>
        <w:rPr>
          <w:rFonts w:ascii="Courier New" w:hAnsi="Courier New"/>
          <w:sz w:val="17"/>
        </w:rPr>
        <w:t xml:space="preserve">Schultergelenk    </w:t>
      </w:r>
    </w:p>
    <w:p>
      <w:r>
        <w:rPr>
          <w:rFonts w:ascii="Courier New" w:hAnsi="Courier New"/>
          <w:sz w:val="17"/>
        </w:rPr>
        <w:t xml:space="preserve">    bei einseitiger Endoprothese beträgt der GdS mindestens    20</w:t>
      </w:r>
    </w:p>
    <w:p>
      <w:r>
        <w:rPr>
          <w:rFonts w:ascii="Courier New" w:hAnsi="Courier New"/>
          <w:sz w:val="17"/>
        </w:rPr>
        <w:t xml:space="preserve">    bei beidseitiger Endoprothese beträgt der GdS mindestens    40</w:t>
      </w:r>
    </w:p>
    <w:p>
      <w:r>
        <w:rPr>
          <w:rFonts w:ascii="Courier New" w:hAnsi="Courier New"/>
          <w:sz w:val="17"/>
        </w:rPr>
        <w:t xml:space="preserve">Ellenbogengelenk    </w:t>
      </w:r>
    </w:p>
    <w:p>
      <w:r>
        <w:rPr>
          <w:rFonts w:ascii="Courier New" w:hAnsi="Courier New"/>
          <w:sz w:val="17"/>
        </w:rPr>
        <w:t xml:space="preserve">    bei einseitiger Totalendoprothese beträgt der GdS mindestens    30</w:t>
      </w:r>
    </w:p>
    <w:p>
      <w:r>
        <w:rPr>
          <w:rFonts w:ascii="Courier New" w:hAnsi="Courier New"/>
          <w:sz w:val="17"/>
        </w:rPr>
        <w:t xml:space="preserve">    bei beidseitiger Totalendoprothese beträgt der GdS mindestens    50</w:t>
      </w:r>
    </w:p>
    <w:p>
      <w:r>
        <w:rPr>
          <w:rFonts w:ascii="Courier New" w:hAnsi="Courier New"/>
          <w:sz w:val="17"/>
        </w:rPr>
        <w:t xml:space="preserve">Kleine Gelenke    </w:t>
      </w:r>
    </w:p>
    <w:p>
      <w:r>
        <w:rPr>
          <w:rFonts w:ascii="Courier New" w:hAnsi="Courier New"/>
          <w:sz w:val="17"/>
        </w:rPr>
        <w:t xml:space="preserve">    Endoprothesen bedingen keine wesentliche Teilhabebeeinträchtigung    </w:t>
      </w:r>
    </w:p>
    <w:p>
      <w:r>
        <w:rPr>
          <w:rFonts w:ascii="Courier New" w:hAnsi="Courier New"/>
          <w:sz w:val="17"/>
        </w:rPr>
        <w:t xml:space="preserve">Aseptische Nekrosen    </w:t>
      </w:r>
    </w:p>
    <w:p>
      <w:r>
        <w:rPr>
          <w:rFonts w:ascii="Courier New" w:hAnsi="Courier New"/>
          <w:sz w:val="17"/>
        </w:rPr>
        <w:t xml:space="preserve">    Hüftkopfnekrosen (z. B. Perthes-Krankheit) während der notwendigen Entlastung    70</w:t>
      </w:r>
    </w:p>
    <w:p>
      <w:r>
        <w:rPr>
          <w:rFonts w:ascii="Courier New" w:hAnsi="Courier New"/>
          <w:sz w:val="17"/>
        </w:rPr>
        <w:t xml:space="preserve">    Lunatum-Malazie während der notwendigen Immobilisierung    30</w:t>
      </w:r>
    </w:p>
    <w:p>
      <w:r>
        <w:rPr>
          <w:rFonts w:ascii="Courier New" w:hAnsi="Courier New"/>
          <w:sz w:val="17"/>
        </w:rPr>
        <w:t xml:space="preserve">18.13 Schäden der oberen Gliedmaßen    </w:t>
      </w:r>
    </w:p>
    <w:p>
      <w:r>
        <w:rPr>
          <w:rFonts w:ascii="Courier New" w:hAnsi="Courier New"/>
          <w:sz w:val="17"/>
        </w:rPr>
        <w:t xml:space="preserve">Extremitätenverlust    </w:t>
      </w:r>
    </w:p>
    <w:p>
      <w:r>
        <w:rPr>
          <w:rFonts w:ascii="Courier New" w:hAnsi="Courier New"/>
          <w:sz w:val="17"/>
        </w:rPr>
        <w:t xml:space="preserve">Verlust eines Armes und Beines    100</w:t>
      </w:r>
    </w:p>
    <w:p>
      <w:r>
        <w:rPr>
          <w:rFonts w:ascii="Courier New" w:hAnsi="Courier New"/>
          <w:sz w:val="17"/>
        </w:rPr>
        <w:t xml:space="preserve">Verlust eines Armes im Schultergelenk oder mit sehr kurzem Oberarmstumpf    80</w:t>
      </w:r>
    </w:p>
    <w:p>
      <w:r>
        <w:rPr>
          <w:rFonts w:ascii="Courier New" w:hAnsi="Courier New"/>
          <w:sz w:val="17"/>
        </w:rPr>
        <w:t xml:space="preserve">Unter einem sehr kurzen Oberarmstumpf ist ein Stumpf zu verstehen, der eine gleiche Funktionseinbuße wie der Verlust des Armes im Schultergelenk zur Folge hat. Das ist immer dann der Fall, wenn die Absetzungsebene in Höhe des Collum chirurgicum liegt.</w:t>
      </w:r>
    </w:p>
    <w:p>
      <w:r>
        <w:rPr>
          <w:rFonts w:ascii="Courier New" w:hAnsi="Courier New"/>
          <w:sz w:val="17"/>
        </w:rPr>
        <w:t xml:space="preserve">Verlust eines Armes im Oberarm oder im Ellenbogengelenk    70</w:t>
      </w:r>
    </w:p>
    <w:p>
      <w:r>
        <w:rPr>
          <w:rFonts w:ascii="Courier New" w:hAnsi="Courier New"/>
          <w:sz w:val="17"/>
        </w:rPr>
        <w:t xml:space="preserve">Verlust eines Armes im Unterarm    50</w:t>
      </w:r>
    </w:p>
    <w:p>
      <w:r>
        <w:rPr>
          <w:rFonts w:ascii="Courier New" w:hAnsi="Courier New"/>
          <w:sz w:val="17"/>
        </w:rPr>
        <w:t xml:space="preserve">Verlust eines Armes im Unterarm mit einer Stumpflänge bis 7 cm    60</w:t>
      </w:r>
    </w:p>
    <w:p>
      <w:r>
        <w:rPr>
          <w:rFonts w:ascii="Courier New" w:hAnsi="Courier New"/>
          <w:sz w:val="17"/>
        </w:rPr>
        <w:t xml:space="preserve">Verlust der ganzen Hand    50</w:t>
      </w:r>
    </w:p>
    <w:p>
      <w:r>
        <w:rPr>
          <w:rFonts w:ascii="Courier New" w:hAnsi="Courier New"/>
          <w:sz w:val="17"/>
        </w:rPr>
        <w:t xml:space="preserve">Versteifung des Schultergelenks in günstiger Stellung bei gut beweglichem Schultergürtel    30</w:t>
      </w:r>
    </w:p>
    <w:p>
      <w:r>
        <w:rPr>
          <w:rFonts w:ascii="Courier New" w:hAnsi="Courier New"/>
          <w:sz w:val="17"/>
        </w:rPr>
        <w:t xml:space="preserve">    Eine Versteifung im Schultergelenk in einem Abspreizwinkel um ca. 45° und leichter Vorhalte gilt als funktionell günstig.    </w:t>
      </w:r>
    </w:p>
    <w:p>
      <w:r>
        <w:rPr>
          <w:rFonts w:ascii="Courier New" w:hAnsi="Courier New"/>
          <w:sz w:val="17"/>
        </w:rPr>
        <w:t xml:space="preserve">    Versteifung des Schultergelenks in ungünstiger Stellung oder bei gestörter Beweglichkeit des Schultergürtels    40-50</w:t>
      </w:r>
    </w:p>
    <w:p>
      <w:r>
        <w:rPr>
          <w:rFonts w:ascii="Courier New" w:hAnsi="Courier New"/>
          <w:sz w:val="17"/>
        </w:rPr>
        <w:t xml:space="preserve">Bewegungseinschränkung des Schultergelenks (einschließlich Schultergürtel)    </w:t>
      </w:r>
    </w:p>
    <w:p>
      <w:r>
        <w:rPr>
          <w:rFonts w:ascii="Courier New" w:hAnsi="Courier New"/>
          <w:sz w:val="17"/>
        </w:rPr>
        <w:t xml:space="preserve">    Armhebung nur bis zu 120° mit entsprechender Einschränkung der Dreh- und Spreizfähigkeit    10</w:t>
      </w:r>
    </w:p>
    <w:p>
      <w:r>
        <w:rPr>
          <w:rFonts w:ascii="Courier New" w:hAnsi="Courier New"/>
          <w:sz w:val="17"/>
        </w:rPr>
        <w:t xml:space="preserve">    Armhebung nur bis zu 90° mit entsprechender Einschränkung der Dreh- und Spreizfähigkeit    20</w:t>
      </w:r>
    </w:p>
    <w:p>
      <w:r>
        <w:rPr>
          <w:rFonts w:ascii="Courier New" w:hAnsi="Courier New"/>
          <w:sz w:val="17"/>
        </w:rPr>
        <w:t xml:space="preserve">Instabilität des Schultergelenks    </w:t>
      </w:r>
    </w:p>
    <w:p>
      <w:r>
        <w:rPr>
          <w:rFonts w:ascii="Courier New" w:hAnsi="Courier New"/>
          <w:sz w:val="17"/>
        </w:rPr>
        <w:t xml:space="preserve">    geringen Grades, auch seltene Ausrenkung (in Abständen von 1 Jahr und mehr)    10</w:t>
      </w:r>
    </w:p>
    <w:p>
      <w:r>
        <w:rPr>
          <w:rFonts w:ascii="Courier New" w:hAnsi="Courier New"/>
          <w:sz w:val="17"/>
        </w:rPr>
        <w:t xml:space="preserve">    mittleren Grades, auch häufigere Ausrenkung    20-30</w:t>
      </w:r>
    </w:p>
    <w:p>
      <w:r>
        <w:rPr>
          <w:rFonts w:ascii="Courier New" w:hAnsi="Courier New"/>
          <w:sz w:val="17"/>
        </w:rPr>
        <w:t xml:space="preserve">    schweren Grades (auch Schlottergelenk), auch ständige Ausrenkung    40</w:t>
      </w:r>
    </w:p>
    <w:p>
      <w:r>
        <w:rPr>
          <w:rFonts w:ascii="Courier New" w:hAnsi="Courier New"/>
          <w:sz w:val="17"/>
        </w:rPr>
        <w:t xml:space="preserve">Schlüsselbeinpseudarthrose    </w:t>
      </w:r>
    </w:p>
    <w:p>
      <w:r>
        <w:rPr>
          <w:rFonts w:ascii="Courier New" w:hAnsi="Courier New"/>
          <w:sz w:val="17"/>
        </w:rPr>
        <w:t xml:space="preserve">    straff    0-10</w:t>
      </w:r>
    </w:p>
    <w:p>
      <w:r>
        <w:rPr>
          <w:rFonts w:ascii="Courier New" w:hAnsi="Courier New"/>
          <w:sz w:val="17"/>
        </w:rPr>
        <w:t xml:space="preserve">    schlaff    20</w:t>
      </w:r>
    </w:p>
    <w:p>
      <w:r>
        <w:rPr>
          <w:rFonts w:ascii="Courier New" w:hAnsi="Courier New"/>
          <w:sz w:val="17"/>
        </w:rPr>
        <w:t xml:space="preserve">Verkürzung des Armes bis zu 4 cm bei freier Beweglichkeit der    </w:t>
      </w:r>
    </w:p>
    <w:p>
      <w:r>
        <w:rPr>
          <w:rFonts w:ascii="Courier New" w:hAnsi="Courier New"/>
          <w:sz w:val="17"/>
        </w:rPr>
        <w:t xml:space="preserve">    großen Armgelenke    0</w:t>
      </w:r>
    </w:p>
    <w:p>
      <w:r>
        <w:rPr>
          <w:rFonts w:ascii="Courier New" w:hAnsi="Courier New"/>
          <w:sz w:val="17"/>
        </w:rPr>
        <w:t xml:space="preserve">Oberarmpseudarthrose    </w:t>
      </w:r>
    </w:p>
    <w:p>
      <w:r>
        <w:rPr>
          <w:rFonts w:ascii="Courier New" w:hAnsi="Courier New"/>
          <w:sz w:val="17"/>
        </w:rPr>
        <w:t xml:space="preserve">    straff    20</w:t>
      </w:r>
    </w:p>
    <w:p>
      <w:r>
        <w:rPr>
          <w:rFonts w:ascii="Courier New" w:hAnsi="Courier New"/>
          <w:sz w:val="17"/>
        </w:rPr>
        <w:t xml:space="preserve">    schlaff    40</w:t>
      </w:r>
    </w:p>
    <w:p>
      <w:r>
        <w:rPr>
          <w:rFonts w:ascii="Courier New" w:hAnsi="Courier New"/>
          <w:sz w:val="17"/>
        </w:rPr>
        <w:t xml:space="preserve">Riss der langen Bizepssehne    0-10</w:t>
      </w:r>
    </w:p>
    <w:p>
      <w:r>
        <w:rPr>
          <w:rFonts w:ascii="Courier New" w:hAnsi="Courier New"/>
          <w:sz w:val="17"/>
        </w:rPr>
        <w:t xml:space="preserve">Versteifung des Ellenbogengelenks einschließlich Aufhebung der Unterarmdrehbewegung    </w:t>
      </w:r>
    </w:p>
    <w:p>
      <w:r>
        <w:rPr>
          <w:rFonts w:ascii="Courier New" w:hAnsi="Courier New"/>
          <w:sz w:val="17"/>
        </w:rPr>
        <w:t xml:space="preserve">    in günstiger Stellung    30</w:t>
      </w:r>
    </w:p>
    <w:p>
      <w:r>
        <w:rPr>
          <w:rFonts w:ascii="Courier New" w:hAnsi="Courier New"/>
          <w:sz w:val="17"/>
        </w:rPr>
        <w:t xml:space="preserve">    in ungünstiger Stellung    40-50</w:t>
      </w:r>
    </w:p>
    <w:p>
      <w:r>
        <w:rPr>
          <w:rFonts w:ascii="Courier New" w:hAnsi="Courier New"/>
          <w:sz w:val="17"/>
        </w:rPr>
        <w:t xml:space="preserve">Die Versteifung in einem Winkel zwischen 80° und 100° bei mittlerer Pronationsstellung des Unterarms ist als günstige Gebrauchsstellung aufzufassen.</w:t>
      </w:r>
    </w:p>
    <w:p>
      <w:r>
        <w:rPr>
          <w:rFonts w:ascii="Courier New" w:hAnsi="Courier New"/>
          <w:sz w:val="17"/>
        </w:rPr>
        <w:t xml:space="preserve">Bewegungseinschränkung im Ellenbogengelenk    </w:t>
      </w:r>
    </w:p>
    <w:p>
      <w:r>
        <w:rPr>
          <w:rFonts w:ascii="Courier New" w:hAnsi="Courier New"/>
          <w:sz w:val="17"/>
        </w:rPr>
        <w:t xml:space="preserve">    geringen Grades (Streckung/Beugung bis 0-30-120 bei freier Unterarmdrehbeweglichkeit)    0-10</w:t>
      </w:r>
    </w:p>
    <w:p>
      <w:r>
        <w:rPr>
          <w:rFonts w:ascii="Courier New" w:hAnsi="Courier New"/>
          <w:sz w:val="17"/>
        </w:rPr>
        <w:t xml:space="preserve">    stärkeren Grades (insbesondere der Beugung einschließlich Einschränkung der Unterarmdrehbeweglichkeit)    20-30</w:t>
      </w:r>
    </w:p>
    <w:p>
      <w:r>
        <w:rPr>
          <w:rFonts w:ascii="Courier New" w:hAnsi="Courier New"/>
          <w:sz w:val="17"/>
        </w:rPr>
        <w:t xml:space="preserve">Isolierte Aufhebung der Unterarmdrehbeweglichkeit    </w:t>
      </w:r>
    </w:p>
    <w:p>
      <w:r>
        <w:rPr>
          <w:rFonts w:ascii="Courier New" w:hAnsi="Courier New"/>
          <w:sz w:val="17"/>
        </w:rPr>
        <w:t xml:space="preserve">    in günstiger Stellung (mittlere Pronationsstellung)    10</w:t>
      </w:r>
    </w:p>
    <w:p>
      <w:r>
        <w:rPr>
          <w:rFonts w:ascii="Courier New" w:hAnsi="Courier New"/>
          <w:sz w:val="17"/>
        </w:rPr>
        <w:t xml:space="preserve">    in ungünstiger Stellung    20</w:t>
      </w:r>
    </w:p>
    <w:p>
      <w:r>
        <w:rPr>
          <w:rFonts w:ascii="Courier New" w:hAnsi="Courier New"/>
          <w:sz w:val="17"/>
        </w:rPr>
        <w:t xml:space="preserve">    in extremer Supinationsstellung    30</w:t>
      </w:r>
    </w:p>
    <w:p>
      <w:r>
        <w:rPr>
          <w:rFonts w:ascii="Courier New" w:hAnsi="Courier New"/>
          <w:sz w:val="17"/>
        </w:rPr>
        <w:t xml:space="preserve">    Ellenbogen-Schlottergelenk    40</w:t>
      </w:r>
    </w:p>
    <w:p>
      <w:r>
        <w:rPr>
          <w:rFonts w:ascii="Courier New" w:hAnsi="Courier New"/>
          <w:sz w:val="17"/>
        </w:rPr>
        <w:t xml:space="preserve">Unterarmpseudarthrose    </w:t>
      </w:r>
    </w:p>
    <w:p>
      <w:r>
        <w:rPr>
          <w:rFonts w:ascii="Courier New" w:hAnsi="Courier New"/>
          <w:sz w:val="17"/>
        </w:rPr>
        <w:t xml:space="preserve">    straff    20</w:t>
      </w:r>
    </w:p>
    <w:p>
      <w:r>
        <w:rPr>
          <w:rFonts w:ascii="Courier New" w:hAnsi="Courier New"/>
          <w:sz w:val="17"/>
        </w:rPr>
        <w:t xml:space="preserve">    schlaff    40</w:t>
      </w:r>
    </w:p>
    <w:p>
      <w:r>
        <w:rPr>
          <w:rFonts w:ascii="Courier New" w:hAnsi="Courier New"/>
          <w:sz w:val="17"/>
        </w:rPr>
        <w:t xml:space="preserve">Pseudarthrose der Elle oder Speiche    10-20</w:t>
      </w:r>
    </w:p>
    <w:p>
      <w:r>
        <w:rPr>
          <w:rFonts w:ascii="Courier New" w:hAnsi="Courier New"/>
          <w:sz w:val="17"/>
        </w:rPr>
        <w:t xml:space="preserve">Versteifung des Handgelenks    </w:t>
      </w:r>
    </w:p>
    <w:p>
      <w:r>
        <w:rPr>
          <w:rFonts w:ascii="Courier New" w:hAnsi="Courier New"/>
          <w:sz w:val="17"/>
        </w:rPr>
        <w:t xml:space="preserve">    in günstiger Stellung (leichte Dorsalextension)    20</w:t>
      </w:r>
    </w:p>
    <w:p>
      <w:r>
        <w:rPr>
          <w:rFonts w:ascii="Courier New" w:hAnsi="Courier New"/>
          <w:sz w:val="17"/>
        </w:rPr>
        <w:t xml:space="preserve">    in ungünstiger Stellung    30</w:t>
      </w:r>
    </w:p>
    <w:p>
      <w:r>
        <w:rPr>
          <w:rFonts w:ascii="Courier New" w:hAnsi="Courier New"/>
          <w:sz w:val="17"/>
        </w:rPr>
        <w:t xml:space="preserve">Bewegungseinschränkung des Handgelenks    </w:t>
      </w:r>
    </w:p>
    <w:p>
      <w:r>
        <w:rPr>
          <w:rFonts w:ascii="Courier New" w:hAnsi="Courier New"/>
          <w:sz w:val="17"/>
        </w:rPr>
        <w:t xml:space="preserve">    geringen Grades (z. B. Streckung/Beugung bis 30-0-40)    0-10</w:t>
      </w:r>
    </w:p>
    <w:p>
      <w:r>
        <w:rPr>
          <w:rFonts w:ascii="Courier New" w:hAnsi="Courier New"/>
          <w:sz w:val="17"/>
        </w:rPr>
        <w:t xml:space="preserve">    stärkeren Grades    20-30</w:t>
      </w:r>
    </w:p>
    <w:p>
      <w:r>
        <w:rPr>
          <w:rFonts w:ascii="Courier New" w:hAnsi="Courier New"/>
          <w:sz w:val="17"/>
        </w:rPr>
        <w:t xml:space="preserve">Nicht oder mit Deformierung verheilte Brüche oder Luxationen der Handwurzelknochen oder eines oder mehrerer Mittelhandknochen mit sekundärer Funktionsbeeinträchtigung    10-30</w:t>
      </w:r>
    </w:p>
    <w:p>
      <w:r>
        <w:rPr>
          <w:rFonts w:ascii="Courier New" w:hAnsi="Courier New"/>
          <w:sz w:val="17"/>
        </w:rPr>
        <w:t xml:space="preserve">Versteifung eines Daumengelenks in günstiger Stellung    0-10</w:t>
      </w:r>
    </w:p>
    <w:p>
      <w:r>
        <w:rPr>
          <w:rFonts w:ascii="Courier New" w:hAnsi="Courier New"/>
          <w:sz w:val="17"/>
        </w:rPr>
        <w:t xml:space="preserve">Versteifung beider Daumengelenke und des Mittelhand- Handwurzelgelenks in günstiger Stellung    20</w:t>
      </w:r>
    </w:p>
    <w:p>
      <w:r>
        <w:rPr>
          <w:rFonts w:ascii="Courier New" w:hAnsi="Courier New"/>
          <w:sz w:val="17"/>
        </w:rPr>
        <w:t xml:space="preserve">Versteifung eines Fingers in günstiger Stellung (mittlere Gebrauchsstellung)    0-10</w:t>
      </w:r>
    </w:p>
    <w:p>
      <w:r>
        <w:rPr>
          <w:rFonts w:ascii="Courier New" w:hAnsi="Courier New"/>
          <w:sz w:val="17"/>
        </w:rPr>
        <w:t xml:space="preserve">Versteifungen der Finger in Streck- oder starker Beugestellung sind oft störender als ein glatter Verlust.    </w:t>
      </w:r>
    </w:p>
    <w:p>
      <w:r>
        <w:rPr>
          <w:rFonts w:ascii="Courier New" w:hAnsi="Courier New"/>
          <w:sz w:val="17"/>
        </w:rPr>
        <w:t xml:space="preserve">Verlust des Daumenendgliedes    0</w:t>
      </w:r>
    </w:p>
    <w:p>
      <w:r>
        <w:rPr>
          <w:rFonts w:ascii="Courier New" w:hAnsi="Courier New"/>
          <w:sz w:val="17"/>
        </w:rPr>
        <w:t xml:space="preserve">Verlust des Daumenendgliedes und des halben Grundgliedes    10</w:t>
      </w:r>
    </w:p>
    <w:p>
      <w:r>
        <w:rPr>
          <w:rFonts w:ascii="Courier New" w:hAnsi="Courier New"/>
          <w:sz w:val="17"/>
        </w:rPr>
        <w:t xml:space="preserve">Verlust eines Daumens    25</w:t>
      </w:r>
    </w:p>
    <w:p>
      <w:r>
        <w:rPr>
          <w:rFonts w:ascii="Courier New" w:hAnsi="Courier New"/>
          <w:sz w:val="17"/>
        </w:rPr>
        <w:t xml:space="preserve">Verlust beider Daumen    40</w:t>
      </w:r>
    </w:p>
    <w:p>
      <w:r>
        <w:rPr>
          <w:rFonts w:ascii="Courier New" w:hAnsi="Courier New"/>
          <w:sz w:val="17"/>
        </w:rPr>
        <w:t xml:space="preserve">Verlust eines Daumens mit Mittelhandknochen    30</w:t>
      </w:r>
    </w:p>
    <w:p>
      <w:r>
        <w:rPr>
          <w:rFonts w:ascii="Courier New" w:hAnsi="Courier New"/>
          <w:sz w:val="17"/>
        </w:rPr>
        <w:t xml:space="preserve">Verlust des Zeigefingers, Mittelfingers, Ringfingers oder Kleinfingers, auch mit Teilen des dazugehörigen Mittelhandknochens    10</w:t>
      </w:r>
    </w:p>
    <w:p>
      <w:r>
        <w:rPr>
          <w:rFonts w:ascii="Courier New" w:hAnsi="Courier New"/>
          <w:sz w:val="17"/>
        </w:rPr>
        <w:t xml:space="preserve">Verlust von zwei Fingern    </w:t>
      </w:r>
    </w:p>
    <w:p>
      <w:r>
        <w:rPr>
          <w:rFonts w:ascii="Courier New" w:hAnsi="Courier New"/>
          <w:sz w:val="17"/>
        </w:rPr>
        <w:t xml:space="preserve">    mit Einschluss des Daumens    30</w:t>
      </w:r>
    </w:p>
    <w:p>
      <w:r>
        <w:rPr>
          <w:rFonts w:ascii="Courier New" w:hAnsi="Courier New"/>
          <w:sz w:val="17"/>
        </w:rPr>
        <w:t xml:space="preserve">    II+III, II+IV    30</w:t>
      </w:r>
    </w:p>
    <w:p>
      <w:r>
        <w:rPr>
          <w:rFonts w:ascii="Courier New" w:hAnsi="Courier New"/>
          <w:sz w:val="17"/>
        </w:rPr>
        <w:t xml:space="preserve">    sonst    25</w:t>
      </w:r>
    </w:p>
    <w:p>
      <w:r>
        <w:rPr>
          <w:rFonts w:ascii="Courier New" w:hAnsi="Courier New"/>
          <w:sz w:val="17"/>
        </w:rPr>
        <w:t xml:space="preserve">Verlust von drei Fingern    </w:t>
      </w:r>
    </w:p>
    <w:p>
      <w:r>
        <w:rPr>
          <w:rFonts w:ascii="Courier New" w:hAnsi="Courier New"/>
          <w:sz w:val="17"/>
        </w:rPr>
        <w:t xml:space="preserve">    mit Einschluss des Daumens    40</w:t>
      </w:r>
    </w:p>
    <w:p>
      <w:r>
        <w:rPr>
          <w:rFonts w:ascii="Courier New" w:hAnsi="Courier New"/>
          <w:sz w:val="17"/>
        </w:rPr>
        <w:t xml:space="preserve">    II+III+IV    40</w:t>
      </w:r>
    </w:p>
    <w:p>
      <w:r>
        <w:rPr>
          <w:rFonts w:ascii="Courier New" w:hAnsi="Courier New"/>
          <w:sz w:val="17"/>
        </w:rPr>
        <w:t xml:space="preserve">    sonst    30</w:t>
      </w:r>
    </w:p>
    <w:p>
      <w:r>
        <w:rPr>
          <w:rFonts w:ascii="Courier New" w:hAnsi="Courier New"/>
          <w:sz w:val="17"/>
        </w:rPr>
        <w:t xml:space="preserve">Verlust von vier Fingern    </w:t>
      </w:r>
    </w:p>
    <w:p>
      <w:r>
        <w:rPr>
          <w:rFonts w:ascii="Courier New" w:hAnsi="Courier New"/>
          <w:sz w:val="17"/>
        </w:rPr>
        <w:t xml:space="preserve">    mit Einschluss des Daumens    50</w:t>
      </w:r>
    </w:p>
    <w:p>
      <w:r>
        <w:rPr>
          <w:rFonts w:ascii="Courier New" w:hAnsi="Courier New"/>
          <w:sz w:val="17"/>
        </w:rPr>
        <w:t xml:space="preserve">    sonst    40</w:t>
      </w:r>
    </w:p>
    <w:p>
      <w:r>
        <w:rPr>
          <w:rFonts w:ascii="Courier New" w:hAnsi="Courier New"/>
          <w:sz w:val="17"/>
        </w:rPr>
        <w:t xml:space="preserve">Verlust der Finger II bis V an beiden Händen    80</w:t>
      </w:r>
    </w:p>
    <w:p>
      <w:r>
        <w:rPr>
          <w:rFonts w:ascii="Courier New" w:hAnsi="Courier New"/>
          <w:sz w:val="17"/>
        </w:rPr>
        <w:t xml:space="preserve">Verlust aller fünf Finger einer Hand    50</w:t>
      </w:r>
    </w:p>
    <w:p>
      <w:r>
        <w:rPr>
          <w:rFonts w:ascii="Courier New" w:hAnsi="Courier New"/>
          <w:sz w:val="17"/>
        </w:rPr>
        <w:t xml:space="preserve">Verlust aller zehn Finger    100</w:t>
      </w:r>
    </w:p>
    <w:p>
      <w:r>
        <w:rPr>
          <w:rFonts w:ascii="Courier New" w:hAnsi="Courier New"/>
          <w:sz w:val="17"/>
        </w:rPr>
        <w:t xml:space="preserve">Obige Sätze gelten für den Gesamtverlust der Finger bei reizlosen Stumpfverhältnissen. Bei Verlust einzelner Fingerglieder sind sie herabzusetzen, bei schlechten Stumpfverhältnissen zu erhöhen.</w:t>
      </w:r>
    </w:p>
    <w:p>
      <w:r>
        <w:rPr>
          <w:rFonts w:ascii="Courier New" w:hAnsi="Courier New"/>
          <w:sz w:val="17"/>
        </w:rPr>
        <w:t xml:space="preserve">Fingerstümpfe im Mittel- und Endgelenk können schmerzhafte Narbenbildung und ungünstige Weichteildeckung zeigen. Empfindungsstörungen an den Fingern, besonders an Daumen und Zeigefinger, können die Gebrauchsfähigkeit der Hand wesentlich beeinträchtigen.</w:t>
      </w:r>
    </w:p>
    <w:p>
      <w:r>
        <w:rPr>
          <w:rFonts w:ascii="Courier New" w:hAnsi="Courier New"/>
          <w:sz w:val="17"/>
        </w:rPr>
        <w:t xml:space="preserve">Nervenausfälle (vollständig)    </w:t>
      </w:r>
    </w:p>
    <w:p>
      <w:r>
        <w:rPr>
          <w:rFonts w:ascii="Courier New" w:hAnsi="Courier New"/>
          <w:sz w:val="17"/>
        </w:rPr>
        <w:t xml:space="preserve">Armplexus    80</w:t>
      </w:r>
    </w:p>
    <w:p>
      <w:r>
        <w:rPr>
          <w:rFonts w:ascii="Courier New" w:hAnsi="Courier New"/>
          <w:sz w:val="17"/>
        </w:rPr>
        <w:t xml:space="preserve">oberer Armplexus    50</w:t>
      </w:r>
    </w:p>
    <w:p>
      <w:r>
        <w:rPr>
          <w:rFonts w:ascii="Courier New" w:hAnsi="Courier New"/>
          <w:sz w:val="17"/>
        </w:rPr>
        <w:t xml:space="preserve">unterer Armplexus    60</w:t>
      </w:r>
    </w:p>
    <w:p>
      <w:r>
        <w:rPr>
          <w:rFonts w:ascii="Courier New" w:hAnsi="Courier New"/>
          <w:sz w:val="17"/>
        </w:rPr>
        <w:t xml:space="preserve">N. axillaris    30</w:t>
      </w:r>
    </w:p>
    <w:p>
      <w:r>
        <w:rPr>
          <w:rFonts w:ascii="Courier New" w:hAnsi="Courier New"/>
          <w:sz w:val="17"/>
        </w:rPr>
        <w:t xml:space="preserve">N. thoracicus longus    20</w:t>
      </w:r>
    </w:p>
    <w:p>
      <w:r>
        <w:rPr>
          <w:rFonts w:ascii="Courier New" w:hAnsi="Courier New"/>
          <w:sz w:val="17"/>
        </w:rPr>
        <w:t xml:space="preserve">N. musculocutaneus    20</w:t>
      </w:r>
    </w:p>
    <w:p>
      <w:r>
        <w:rPr>
          <w:rFonts w:ascii="Courier New" w:hAnsi="Courier New"/>
          <w:sz w:val="17"/>
        </w:rPr>
        <w:t xml:space="preserve">N. radialis    </w:t>
      </w:r>
    </w:p>
    <w:p>
      <w:r>
        <w:rPr>
          <w:rFonts w:ascii="Courier New" w:hAnsi="Courier New"/>
          <w:sz w:val="17"/>
        </w:rPr>
        <w:t xml:space="preserve">    ganzer Nerv    30</w:t>
      </w:r>
    </w:p>
    <w:p>
      <w:r>
        <w:rPr>
          <w:rFonts w:ascii="Courier New" w:hAnsi="Courier New"/>
          <w:sz w:val="17"/>
        </w:rPr>
        <w:t xml:space="preserve">    mittlerer Bereich oder distal    20</w:t>
      </w:r>
    </w:p>
    <w:p>
      <w:r>
        <w:rPr>
          <w:rFonts w:ascii="Courier New" w:hAnsi="Courier New"/>
          <w:sz w:val="17"/>
        </w:rPr>
        <w:t xml:space="preserve">N. ulnaris    </w:t>
      </w:r>
    </w:p>
    <w:p>
      <w:r>
        <w:rPr>
          <w:rFonts w:ascii="Courier New" w:hAnsi="Courier New"/>
          <w:sz w:val="17"/>
        </w:rPr>
        <w:t xml:space="preserve">    proximal oder distal    30</w:t>
      </w:r>
    </w:p>
    <w:p>
      <w:r>
        <w:rPr>
          <w:rFonts w:ascii="Courier New" w:hAnsi="Courier New"/>
          <w:sz w:val="17"/>
        </w:rPr>
        <w:t xml:space="preserve">N. medianus    </w:t>
      </w:r>
    </w:p>
    <w:p>
      <w:r>
        <w:rPr>
          <w:rFonts w:ascii="Courier New" w:hAnsi="Courier New"/>
          <w:sz w:val="17"/>
        </w:rPr>
        <w:t xml:space="preserve">    proximal    40</w:t>
      </w:r>
    </w:p>
    <w:p>
      <w:r>
        <w:rPr>
          <w:rFonts w:ascii="Courier New" w:hAnsi="Courier New"/>
          <w:sz w:val="17"/>
        </w:rPr>
        <w:t xml:space="preserve">    distal    30</w:t>
      </w:r>
    </w:p>
    <w:p>
      <w:r>
        <w:rPr>
          <w:rFonts w:ascii="Courier New" w:hAnsi="Courier New"/>
          <w:sz w:val="17"/>
        </w:rPr>
        <w:t xml:space="preserve">Nn. radialis und axillaris    50</w:t>
      </w:r>
    </w:p>
    <w:p>
      <w:r>
        <w:rPr>
          <w:rFonts w:ascii="Courier New" w:hAnsi="Courier New"/>
          <w:sz w:val="17"/>
        </w:rPr>
        <w:t xml:space="preserve">Nn. radialis und ulnaris    50</w:t>
      </w:r>
    </w:p>
    <w:p>
      <w:r>
        <w:rPr>
          <w:rFonts w:ascii="Courier New" w:hAnsi="Courier New"/>
          <w:sz w:val="17"/>
        </w:rPr>
        <w:t xml:space="preserve">Nn. radialis und medianus    50</w:t>
      </w:r>
    </w:p>
    <w:p>
      <w:r>
        <w:rPr>
          <w:rFonts w:ascii="Courier New" w:hAnsi="Courier New"/>
          <w:sz w:val="17"/>
        </w:rPr>
        <w:t xml:space="preserve">Nn. ulnaris und medianus    50</w:t>
      </w:r>
    </w:p>
    <w:p>
      <w:r>
        <w:rPr>
          <w:rFonts w:ascii="Courier New" w:hAnsi="Courier New"/>
          <w:sz w:val="17"/>
        </w:rPr>
        <w:t xml:space="preserve">Nn. radialis, ulnaris und medianus im Vorderarmbereich    60</w:t>
      </w:r>
    </w:p>
    <w:p>
      <w:r>
        <w:rPr>
          <w:rFonts w:ascii="Courier New" w:hAnsi="Courier New"/>
          <w:sz w:val="17"/>
        </w:rPr>
        <w:t xml:space="preserve">Trophische Störungen sind zusätzlich zu berücksichtigen; Teilausfälle der genannten Nerven sind entsprechend geringer zu bewerten.</w:t>
      </w:r>
    </w:p>
    <w:p>
      <w:r>
        <w:rPr>
          <w:rFonts w:ascii="Courier New" w:hAnsi="Courier New"/>
          <w:sz w:val="17"/>
        </w:rPr>
        <w:t xml:space="preserve">18.14 Schäden der unteren Gliedmaßen    </w:t>
      </w:r>
    </w:p>
    <w:p>
      <w:r>
        <w:rPr>
          <w:rFonts w:ascii="Courier New" w:hAnsi="Courier New"/>
          <w:sz w:val="17"/>
        </w:rPr>
        <w:t xml:space="preserve">Verlust beider Beine im Oberschenkel    100</w:t>
      </w:r>
    </w:p>
    <w:p>
      <w:r>
        <w:rPr>
          <w:rFonts w:ascii="Courier New" w:hAnsi="Courier New"/>
          <w:sz w:val="17"/>
        </w:rPr>
        <w:t xml:space="preserve">Verlust eines Beines im Oberschenkel und eines Beines im Unterschenkel    100</w:t>
      </w:r>
    </w:p>
    <w:p>
      <w:r>
        <w:rPr>
          <w:rFonts w:ascii="Courier New" w:hAnsi="Courier New"/>
          <w:sz w:val="17"/>
        </w:rPr>
        <w:t xml:space="preserve">Verlust eines Beines und Armes    100</w:t>
      </w:r>
    </w:p>
    <w:p>
      <w:r>
        <w:rPr>
          <w:rFonts w:ascii="Courier New" w:hAnsi="Courier New"/>
          <w:sz w:val="17"/>
        </w:rPr>
        <w:t xml:space="preserve">Verlust eines Beines im Hüftgelenk oder mit sehr kurzem Oberschenkelstumpf    80</w:t>
      </w:r>
    </w:p>
    <w:p>
      <w:r>
        <w:rPr>
          <w:rFonts w:ascii="Courier New" w:hAnsi="Courier New"/>
          <w:sz w:val="17"/>
        </w:rPr>
        <w:t xml:space="preserve">Unter einem sehr kurzen Oberschenkelstumpf ist ein Stumpf zu verstehen, der eine gleiche Funktionseinbuße wie der Verlust des Beines im Hüftgelenk bedingt. Das ist immer dann der Fall, wenn die Absetzungsebene in Höhe des Trochanter minor liegt.</w:t>
      </w:r>
    </w:p>
    <w:p>
      <w:r>
        <w:rPr>
          <w:rFonts w:ascii="Courier New" w:hAnsi="Courier New"/>
          <w:sz w:val="17"/>
        </w:rPr>
        <w:t xml:space="preserve">Verlust eines Beines im Oberschenkel (einschließlich Absetzung nach Gritti)    70</w:t>
      </w:r>
    </w:p>
    <w:p>
      <w:r>
        <w:rPr>
          <w:rFonts w:ascii="Courier New" w:hAnsi="Courier New"/>
          <w:sz w:val="17"/>
        </w:rPr>
        <w:t xml:space="preserve">Notwendigkeit der Entlastung des ganzen Beines (z. B. Sitzbeinabstützung)    70</w:t>
      </w:r>
    </w:p>
    <w:p>
      <w:r>
        <w:rPr>
          <w:rFonts w:ascii="Courier New" w:hAnsi="Courier New"/>
          <w:sz w:val="17"/>
        </w:rPr>
        <w:t xml:space="preserve">Verlust eines Beines im Unterschenkel bei genügender Funktionstüchtigkeit des Stumpfes und der Gelenke    50</w:t>
      </w:r>
    </w:p>
    <w:p>
      <w:r>
        <w:rPr>
          <w:rFonts w:ascii="Courier New" w:hAnsi="Courier New"/>
          <w:sz w:val="17"/>
        </w:rPr>
        <w:t xml:space="preserve">Notwendigkeit der Entlastung eines Unterschenkels (z. B. Schienbeinkopfabstützung)    50</w:t>
      </w:r>
    </w:p>
    <w:p>
      <w:r>
        <w:rPr>
          <w:rFonts w:ascii="Courier New" w:hAnsi="Courier New"/>
          <w:sz w:val="17"/>
        </w:rPr>
        <w:t xml:space="preserve">Verlust eines Beines im Unterschenkel bei ungenügender Funktionstüchtigkeit des Stumpfes und der Gelenke    60</w:t>
      </w:r>
    </w:p>
    <w:p>
      <w:r>
        <w:rPr>
          <w:rFonts w:ascii="Courier New" w:hAnsi="Courier New"/>
          <w:sz w:val="17"/>
        </w:rPr>
        <w:t xml:space="preserve">Verlust beider Beine im Unterschenkel    80</w:t>
      </w:r>
    </w:p>
    <w:p>
      <w:r>
        <w:rPr>
          <w:rFonts w:ascii="Courier New" w:hAnsi="Courier New"/>
          <w:sz w:val="17"/>
        </w:rPr>
        <w:t xml:space="preserve">    bei einseitig ungünstigen Stumpfverhältnissen    90</w:t>
      </w:r>
    </w:p>
    <w:p>
      <w:r>
        <w:rPr>
          <w:rFonts w:ascii="Courier New" w:hAnsi="Courier New"/>
          <w:sz w:val="17"/>
        </w:rPr>
        <w:t xml:space="preserve">    bei beidseitig ungünstigen Stumpfverhältnissen    100</w:t>
      </w:r>
    </w:p>
    <w:p>
      <w:r>
        <w:rPr>
          <w:rFonts w:ascii="Courier New" w:hAnsi="Courier New"/>
          <w:sz w:val="17"/>
        </w:rPr>
        <w:t xml:space="preserve">Teilverlust eines Fußes, Absetzung    </w:t>
      </w:r>
    </w:p>
    <w:p>
      <w:r>
        <w:rPr>
          <w:rFonts w:ascii="Courier New" w:hAnsi="Courier New"/>
          <w:sz w:val="17"/>
        </w:rPr>
        <w:t xml:space="preserve">    nach Pirogow    </w:t>
      </w:r>
    </w:p>
    <w:p>
      <w:r>
        <w:rPr>
          <w:rFonts w:ascii="Courier New" w:hAnsi="Courier New"/>
          <w:sz w:val="17"/>
        </w:rPr>
        <w:t xml:space="preserve">        einseitig, guter Stumpf    40</w:t>
      </w:r>
    </w:p>
    <w:p>
      <w:r>
        <w:rPr>
          <w:rFonts w:ascii="Courier New" w:hAnsi="Courier New"/>
          <w:sz w:val="17"/>
        </w:rPr>
        <w:t xml:space="preserve">        beidseitig    70</w:t>
      </w:r>
    </w:p>
    <w:p>
      <w:r>
        <w:rPr>
          <w:rFonts w:ascii="Courier New" w:hAnsi="Courier New"/>
          <w:sz w:val="17"/>
        </w:rPr>
        <w:t xml:space="preserve">    nach Chopart    </w:t>
      </w:r>
    </w:p>
    <w:p>
      <w:r>
        <w:rPr>
          <w:rFonts w:ascii="Courier New" w:hAnsi="Courier New"/>
          <w:sz w:val="17"/>
        </w:rPr>
        <w:t xml:space="preserve">        einseitig, guter Stumpf    30</w:t>
      </w:r>
    </w:p>
    <w:p>
      <w:r>
        <w:rPr>
          <w:rFonts w:ascii="Courier New" w:hAnsi="Courier New"/>
          <w:sz w:val="17"/>
        </w:rPr>
        <w:t xml:space="preserve">        einseitig, mit Fußfehlstellung    30-50</w:t>
      </w:r>
    </w:p>
    <w:p>
      <w:r>
        <w:rPr>
          <w:rFonts w:ascii="Courier New" w:hAnsi="Courier New"/>
          <w:sz w:val="17"/>
        </w:rPr>
        <w:t xml:space="preserve">        beidseitig    60</w:t>
      </w:r>
    </w:p>
    <w:p>
      <w:r>
        <w:rPr>
          <w:rFonts w:ascii="Courier New" w:hAnsi="Courier New"/>
          <w:sz w:val="17"/>
        </w:rPr>
        <w:t xml:space="preserve">nach Lisfranc oder im Bereich der Mittelfußknochen nach Sharp    </w:t>
      </w:r>
    </w:p>
    <w:p>
      <w:r>
        <w:rPr>
          <w:rFonts w:ascii="Courier New" w:hAnsi="Courier New"/>
          <w:sz w:val="17"/>
        </w:rPr>
        <w:t xml:space="preserve">    einseitig, guter Stumpf    30</w:t>
      </w:r>
    </w:p>
    <w:p>
      <w:r>
        <w:rPr>
          <w:rFonts w:ascii="Courier New" w:hAnsi="Courier New"/>
          <w:sz w:val="17"/>
        </w:rPr>
        <w:t xml:space="preserve">    einseitig, mit Fußfehlstellung    30-40</w:t>
      </w:r>
    </w:p>
    <w:p>
      <w:r>
        <w:rPr>
          <w:rFonts w:ascii="Courier New" w:hAnsi="Courier New"/>
          <w:sz w:val="17"/>
        </w:rPr>
        <w:t xml:space="preserve">    beidseitig    50</w:t>
      </w:r>
    </w:p>
    <w:p>
      <w:r>
        <w:rPr>
          <w:rFonts w:ascii="Courier New" w:hAnsi="Courier New"/>
          <w:sz w:val="17"/>
        </w:rPr>
        <w:t xml:space="preserve">Verlust einer Zehe    0</w:t>
      </w:r>
    </w:p>
    <w:p>
      <w:r>
        <w:rPr>
          <w:rFonts w:ascii="Courier New" w:hAnsi="Courier New"/>
          <w:sz w:val="17"/>
        </w:rPr>
        <w:t xml:space="preserve">Verlust einer Großzehe    10</w:t>
      </w:r>
    </w:p>
    <w:p>
      <w:r>
        <w:rPr>
          <w:rFonts w:ascii="Courier New" w:hAnsi="Courier New"/>
          <w:sz w:val="17"/>
        </w:rPr>
        <w:t xml:space="preserve">Verlust einer Großzehe mit Verlust des Köpfchens des I. Mittelfußknochens    20</w:t>
      </w:r>
    </w:p>
    <w:p>
      <w:r>
        <w:rPr>
          <w:rFonts w:ascii="Courier New" w:hAnsi="Courier New"/>
          <w:sz w:val="17"/>
        </w:rPr>
        <w:t xml:space="preserve">Verlust der Zehen II bis V oder I bis III    10</w:t>
      </w:r>
    </w:p>
    <w:p>
      <w:r>
        <w:rPr>
          <w:rFonts w:ascii="Courier New" w:hAnsi="Courier New"/>
          <w:sz w:val="17"/>
        </w:rPr>
        <w:t xml:space="preserve">Verlust aller Zehen an einem Fuß    20</w:t>
      </w:r>
    </w:p>
    <w:p>
      <w:r>
        <w:rPr>
          <w:rFonts w:ascii="Courier New" w:hAnsi="Courier New"/>
          <w:sz w:val="17"/>
        </w:rPr>
        <w:t xml:space="preserve">Verlust aller Zehen an beiden Füßen    30</w:t>
      </w:r>
    </w:p>
    <w:p>
      <w:r>
        <w:rPr>
          <w:rFonts w:ascii="Courier New" w:hAnsi="Courier New"/>
          <w:sz w:val="17"/>
        </w:rPr>
        <w:t xml:space="preserve">Versteifung beider Hüftgelenke je nach Stellung    80-100</w:t>
      </w:r>
    </w:p>
    <w:p>
      <w:r>
        <w:rPr>
          <w:rFonts w:ascii="Courier New" w:hAnsi="Courier New"/>
          <w:sz w:val="17"/>
        </w:rPr>
        <w:t xml:space="preserve">Versteifung eines Hüftgelenks    </w:t>
      </w:r>
    </w:p>
    <w:p>
      <w:r>
        <w:rPr>
          <w:rFonts w:ascii="Courier New" w:hAnsi="Courier New"/>
          <w:sz w:val="17"/>
        </w:rPr>
        <w:t xml:space="preserve">    in günstiger Stellung    40</w:t>
      </w:r>
    </w:p>
    <w:p>
      <w:r>
        <w:rPr>
          <w:rFonts w:ascii="Courier New" w:hAnsi="Courier New"/>
          <w:sz w:val="17"/>
        </w:rPr>
        <w:t xml:space="preserve">    Die Versteifung eines Hüftgelenks in leichter Abspreizstellung von ca. 10°, mittlerer Drehstellung und leichter Beugestellung gilt als günstig.    </w:t>
      </w:r>
    </w:p>
    <w:p>
      <w:r>
        <w:rPr>
          <w:rFonts w:ascii="Courier New" w:hAnsi="Courier New"/>
          <w:sz w:val="17"/>
        </w:rPr>
        <w:t xml:space="preserve">    in ungünstiger Stellung    50-60</w:t>
      </w:r>
    </w:p>
    <w:p>
      <w:r>
        <w:rPr>
          <w:rFonts w:ascii="Courier New" w:hAnsi="Courier New"/>
          <w:sz w:val="17"/>
        </w:rPr>
        <w:t xml:space="preserve">    Ungünstig sind Hüftgelenkversteifungen in stärkerer Adduktions-, Abduktions- oder Beugestellung.    </w:t>
      </w:r>
    </w:p>
    <w:p>
      <w:r>
        <w:rPr>
          <w:rFonts w:ascii="Courier New" w:hAnsi="Courier New"/>
          <w:sz w:val="17"/>
        </w:rPr>
        <w:t xml:space="preserve">Bewegungseinschränkung der Hüftgelenke    </w:t>
      </w:r>
    </w:p>
    <w:p>
      <w:r>
        <w:rPr>
          <w:rFonts w:ascii="Courier New" w:hAnsi="Courier New"/>
          <w:sz w:val="17"/>
        </w:rPr>
        <w:t xml:space="preserve">    geringen Grades    </w:t>
      </w:r>
    </w:p>
    <w:p>
      <w:r>
        <w:rPr>
          <w:rFonts w:ascii="Courier New" w:hAnsi="Courier New"/>
          <w:sz w:val="17"/>
        </w:rPr>
        <w:t xml:space="preserve">    (z. B. Streckung/Beugung bis zu 0-10-90 mit entsprechender Einschränkung der Dreh- und Spreizfähigkeit)    </w:t>
      </w:r>
    </w:p>
    <w:p>
      <w:r>
        <w:rPr>
          <w:rFonts w:ascii="Courier New" w:hAnsi="Courier New"/>
          <w:sz w:val="17"/>
        </w:rPr>
        <w:t xml:space="preserve">        einseitig    10-20</w:t>
      </w:r>
    </w:p>
    <w:p>
      <w:r>
        <w:rPr>
          <w:rFonts w:ascii="Courier New" w:hAnsi="Courier New"/>
          <w:sz w:val="17"/>
        </w:rPr>
        <w:t xml:space="preserve">        beidseitig    20-30</w:t>
      </w:r>
    </w:p>
    <w:p>
      <w:r>
        <w:rPr>
          <w:rFonts w:ascii="Courier New" w:hAnsi="Courier New"/>
          <w:sz w:val="17"/>
        </w:rPr>
        <w:t xml:space="preserve">    mittleren Grades    </w:t>
      </w:r>
    </w:p>
    <w:p>
      <w:r>
        <w:rPr>
          <w:rFonts w:ascii="Courier New" w:hAnsi="Courier New"/>
          <w:sz w:val="17"/>
        </w:rPr>
        <w:t xml:space="preserve">    (z. B. Streckung/Beugung bis zu 0-30-90 mit entsprechender Einschränkung der Dreh- und Spreizfähigkeit)    </w:t>
      </w:r>
    </w:p>
    <w:p>
      <w:r>
        <w:rPr>
          <w:rFonts w:ascii="Courier New" w:hAnsi="Courier New"/>
          <w:sz w:val="17"/>
        </w:rPr>
        <w:t xml:space="preserve">        einseitig    30</w:t>
      </w:r>
    </w:p>
    <w:p>
      <w:r>
        <w:rPr>
          <w:rFonts w:ascii="Courier New" w:hAnsi="Courier New"/>
          <w:sz w:val="17"/>
        </w:rPr>
        <w:t xml:space="preserve">        beidseitig    50</w:t>
      </w:r>
    </w:p>
    <w:p>
      <w:r>
        <w:rPr>
          <w:rFonts w:ascii="Courier New" w:hAnsi="Courier New"/>
          <w:sz w:val="17"/>
        </w:rPr>
        <w:t xml:space="preserve">    stärkeren Grades    </w:t>
      </w:r>
    </w:p>
    <w:p>
      <w:r>
        <w:rPr>
          <w:rFonts w:ascii="Courier New" w:hAnsi="Courier New"/>
          <w:sz w:val="17"/>
        </w:rPr>
        <w:t xml:space="preserve">        einseitig    40</w:t>
      </w:r>
    </w:p>
    <w:p>
      <w:r>
        <w:rPr>
          <w:rFonts w:ascii="Courier New" w:hAnsi="Courier New"/>
          <w:sz w:val="17"/>
        </w:rPr>
        <w:t xml:space="preserve">        beidseitig    60-100</w:t>
      </w:r>
    </w:p>
    <w:p>
      <w:r>
        <w:rPr>
          <w:rFonts w:ascii="Courier New" w:hAnsi="Courier New"/>
          <w:sz w:val="17"/>
        </w:rPr>
        <w:t xml:space="preserve">Hüftdysplasie (einschließlich sogenannte angeborene Hüftluxation)    </w:t>
      </w:r>
    </w:p>
    <w:p>
      <w:r>
        <w:rPr>
          <w:rFonts w:ascii="Courier New" w:hAnsi="Courier New"/>
          <w:sz w:val="17"/>
        </w:rPr>
        <w:t xml:space="preserve">    für die Dauer der vollständigen Immobilisierung    100</w:t>
      </w:r>
    </w:p>
    <w:p>
      <w:r>
        <w:rPr>
          <w:rFonts w:ascii="Courier New" w:hAnsi="Courier New"/>
          <w:sz w:val="17"/>
        </w:rPr>
        <w:t xml:space="preserve">    danach bis zum Abschluss der Spreizbehandlung    50</w:t>
      </w:r>
    </w:p>
    <w:p>
      <w:r>
        <w:rPr>
          <w:rFonts w:ascii="Courier New" w:hAnsi="Courier New"/>
          <w:sz w:val="17"/>
        </w:rPr>
        <w:t xml:space="preserve">    Anschließend und bei unbehandelten Fällen richtet sich der GdS nach der Instabilität und der Funktionsbeeinträchtigung.    </w:t>
      </w:r>
    </w:p>
    <w:p>
      <w:r>
        <w:rPr>
          <w:rFonts w:ascii="Courier New" w:hAnsi="Courier New"/>
          <w:sz w:val="17"/>
        </w:rPr>
        <w:t xml:space="preserve">Hüftgelenksresektion je nach Funktionsstörung    50-80</w:t>
      </w:r>
    </w:p>
    <w:p>
      <w:r>
        <w:rPr>
          <w:rFonts w:ascii="Courier New" w:hAnsi="Courier New"/>
          <w:sz w:val="17"/>
        </w:rPr>
        <w:t xml:space="preserve">Schnappende Hüfte    0-10</w:t>
      </w:r>
    </w:p>
    <w:p>
      <w:r>
        <w:rPr>
          <w:rFonts w:ascii="Courier New" w:hAnsi="Courier New"/>
          <w:sz w:val="17"/>
        </w:rPr>
        <w:t xml:space="preserve">Beinverkürzung    </w:t>
      </w:r>
    </w:p>
    <w:p>
      <w:r>
        <w:rPr>
          <w:rFonts w:ascii="Courier New" w:hAnsi="Courier New"/>
          <w:sz w:val="17"/>
        </w:rPr>
        <w:t xml:space="preserve">    bis 2,5 cm    0</w:t>
      </w:r>
    </w:p>
    <w:p>
      <w:r>
        <w:rPr>
          <w:rFonts w:ascii="Courier New" w:hAnsi="Courier New"/>
          <w:sz w:val="17"/>
        </w:rPr>
        <w:t xml:space="preserve">    über 2,5 cm bis 4 cm    10</w:t>
      </w:r>
    </w:p>
    <w:p>
      <w:r>
        <w:rPr>
          <w:rFonts w:ascii="Courier New" w:hAnsi="Courier New"/>
          <w:sz w:val="17"/>
        </w:rPr>
        <w:t xml:space="preserve">    über 4 cm bis 6 cm    20</w:t>
      </w:r>
    </w:p>
    <w:p>
      <w:r>
        <w:rPr>
          <w:rFonts w:ascii="Courier New" w:hAnsi="Courier New"/>
          <w:sz w:val="17"/>
        </w:rPr>
        <w:t xml:space="preserve">    über 6 cm    wenigstens 30</w:t>
      </w:r>
    </w:p>
    <w:p>
      <w:r>
        <w:rPr>
          <w:rFonts w:ascii="Courier New" w:hAnsi="Courier New"/>
          <w:sz w:val="17"/>
        </w:rPr>
        <w:t xml:space="preserve">Oberschenkelpseudarthrose    </w:t>
      </w:r>
    </w:p>
    <w:p>
      <w:r>
        <w:rPr>
          <w:rFonts w:ascii="Courier New" w:hAnsi="Courier New"/>
          <w:sz w:val="17"/>
        </w:rPr>
        <w:t xml:space="preserve">    straff    50</w:t>
      </w:r>
    </w:p>
    <w:p>
      <w:r>
        <w:rPr>
          <w:rFonts w:ascii="Courier New" w:hAnsi="Courier New"/>
          <w:sz w:val="17"/>
        </w:rPr>
        <w:t xml:space="preserve">    schlaff    70</w:t>
      </w:r>
    </w:p>
    <w:p>
      <w:r>
        <w:rPr>
          <w:rFonts w:ascii="Courier New" w:hAnsi="Courier New"/>
          <w:sz w:val="17"/>
        </w:rPr>
        <w:t xml:space="preserve">Faszienlücke (Muskelhernie) am Oberschenkel    0-10</w:t>
      </w:r>
    </w:p>
    <w:p>
      <w:r>
        <w:rPr>
          <w:rFonts w:ascii="Courier New" w:hAnsi="Courier New"/>
          <w:sz w:val="17"/>
        </w:rPr>
        <w:t xml:space="preserve">Versteifung beider Kniegelenke    80</w:t>
      </w:r>
    </w:p>
    <w:p>
      <w:r>
        <w:rPr>
          <w:rFonts w:ascii="Courier New" w:hAnsi="Courier New"/>
          <w:sz w:val="17"/>
        </w:rPr>
        <w:t xml:space="preserve">Versteifung eines Kniegelenks    </w:t>
      </w:r>
    </w:p>
    <w:p>
      <w:r>
        <w:rPr>
          <w:rFonts w:ascii="Courier New" w:hAnsi="Courier New"/>
          <w:sz w:val="17"/>
        </w:rPr>
        <w:t xml:space="preserve">    in günstiger Stellung (Beugestellung von 10-15°)    30</w:t>
      </w:r>
    </w:p>
    <w:p>
      <w:r>
        <w:rPr>
          <w:rFonts w:ascii="Courier New" w:hAnsi="Courier New"/>
          <w:sz w:val="17"/>
        </w:rPr>
        <w:t xml:space="preserve">    in ungünstiger Stellung    40-60</w:t>
      </w:r>
    </w:p>
    <w:p>
      <w:r>
        <w:rPr>
          <w:rFonts w:ascii="Courier New" w:hAnsi="Courier New"/>
          <w:sz w:val="17"/>
        </w:rPr>
        <w:t xml:space="preserve">Lockerung des Kniebandapparates    </w:t>
      </w:r>
    </w:p>
    <w:p>
      <w:r>
        <w:rPr>
          <w:rFonts w:ascii="Courier New" w:hAnsi="Courier New"/>
          <w:sz w:val="17"/>
        </w:rPr>
        <w:t xml:space="preserve">    muskulär kompensierbar    10</w:t>
      </w:r>
    </w:p>
    <w:p>
      <w:r>
        <w:rPr>
          <w:rFonts w:ascii="Courier New" w:hAnsi="Courier New"/>
          <w:sz w:val="17"/>
        </w:rPr>
        <w:t xml:space="preserve">    unvollständig kompensierbar, Gangunsicherheit    20</w:t>
      </w:r>
    </w:p>
    <w:p>
      <w:r>
        <w:rPr>
          <w:rFonts w:ascii="Courier New" w:hAnsi="Courier New"/>
          <w:sz w:val="17"/>
        </w:rPr>
        <w:t xml:space="preserve">    Versorgung mit einem Stützapparat, je nach Achsenfehlstellung    30-50</w:t>
      </w:r>
    </w:p>
    <w:p>
      <w:r>
        <w:rPr>
          <w:rFonts w:ascii="Courier New" w:hAnsi="Courier New"/>
          <w:sz w:val="17"/>
        </w:rPr>
        <w:t xml:space="preserve">Kniescheibenbruch    </w:t>
      </w:r>
    </w:p>
    <w:p>
      <w:r>
        <w:rPr>
          <w:rFonts w:ascii="Courier New" w:hAnsi="Courier New"/>
          <w:sz w:val="17"/>
        </w:rPr>
        <w:t xml:space="preserve">    nicht knöchern verheilt ohne Funktionseinschränkung des Streckapparates    10</w:t>
      </w:r>
    </w:p>
    <w:p>
      <w:r>
        <w:rPr>
          <w:rFonts w:ascii="Courier New" w:hAnsi="Courier New"/>
          <w:sz w:val="17"/>
        </w:rPr>
        <w:t xml:space="preserve">    nicht knöchern verheilt mit Funktionseinschränkung des Streckapparates    20-40</w:t>
      </w:r>
    </w:p>
    <w:p>
      <w:r>
        <w:rPr>
          <w:rFonts w:ascii="Courier New" w:hAnsi="Courier New"/>
          <w:sz w:val="17"/>
        </w:rPr>
        <w:t xml:space="preserve">Habituelle Kniescheibenverrenkung    </w:t>
      </w:r>
    </w:p>
    <w:p>
      <w:r>
        <w:rPr>
          <w:rFonts w:ascii="Courier New" w:hAnsi="Courier New"/>
          <w:sz w:val="17"/>
        </w:rPr>
        <w:t xml:space="preserve">    seltene Ausrenkung (in Abständen von 1 Jahr und mehr)    0-10</w:t>
      </w:r>
    </w:p>
    <w:p>
      <w:r>
        <w:rPr>
          <w:rFonts w:ascii="Courier New" w:hAnsi="Courier New"/>
          <w:sz w:val="17"/>
        </w:rPr>
        <w:t xml:space="preserve">    häufiger    20</w:t>
      </w:r>
    </w:p>
    <w:p>
      <w:r>
        <w:rPr>
          <w:rFonts w:ascii="Courier New" w:hAnsi="Courier New"/>
          <w:sz w:val="17"/>
        </w:rPr>
        <w:t xml:space="preserve">Bewegungseinschränkung im Kniegelenk    </w:t>
      </w:r>
    </w:p>
    <w:p>
      <w:r>
        <w:rPr>
          <w:rFonts w:ascii="Courier New" w:hAnsi="Courier New"/>
          <w:sz w:val="17"/>
        </w:rPr>
        <w:t xml:space="preserve">    geringen Grades (z. B. Streckung/Beugung bis 0-0-90)    </w:t>
      </w:r>
    </w:p>
    <w:p>
      <w:r>
        <w:rPr>
          <w:rFonts w:ascii="Courier New" w:hAnsi="Courier New"/>
          <w:sz w:val="17"/>
        </w:rPr>
        <w:t xml:space="preserve">        einseitig    0-10</w:t>
      </w:r>
    </w:p>
    <w:p>
      <w:r>
        <w:rPr>
          <w:rFonts w:ascii="Courier New" w:hAnsi="Courier New"/>
          <w:sz w:val="17"/>
        </w:rPr>
        <w:t xml:space="preserve">        beidseitig    10-20</w:t>
      </w:r>
    </w:p>
    <w:p>
      <w:r>
        <w:rPr>
          <w:rFonts w:ascii="Courier New" w:hAnsi="Courier New"/>
          <w:sz w:val="17"/>
        </w:rPr>
        <w:t xml:space="preserve">    mittleren Grades (z. B. Streckung/Beugung 0-10-90)    </w:t>
      </w:r>
    </w:p>
    <w:p>
      <w:r>
        <w:rPr>
          <w:rFonts w:ascii="Courier New" w:hAnsi="Courier New"/>
          <w:sz w:val="17"/>
        </w:rPr>
        <w:t xml:space="preserve">        einseitig    20</w:t>
      </w:r>
    </w:p>
    <w:p>
      <w:r>
        <w:rPr>
          <w:rFonts w:ascii="Courier New" w:hAnsi="Courier New"/>
          <w:sz w:val="17"/>
        </w:rPr>
        <w:t xml:space="preserve">        beidseitig    40</w:t>
      </w:r>
    </w:p>
    <w:p>
      <w:r>
        <w:rPr>
          <w:rFonts w:ascii="Courier New" w:hAnsi="Courier New"/>
          <w:sz w:val="17"/>
        </w:rPr>
        <w:t xml:space="preserve">    stärkeren Grades (z. B. Streckung/Beugung 0-30-90)    </w:t>
      </w:r>
    </w:p>
    <w:p>
      <w:r>
        <w:rPr>
          <w:rFonts w:ascii="Courier New" w:hAnsi="Courier New"/>
          <w:sz w:val="17"/>
        </w:rPr>
        <w:t xml:space="preserve">        einseitig    30</w:t>
      </w:r>
    </w:p>
    <w:p>
      <w:r>
        <w:rPr>
          <w:rFonts w:ascii="Courier New" w:hAnsi="Courier New"/>
          <w:sz w:val="17"/>
        </w:rPr>
        <w:t xml:space="preserve">        beidseitig    50</w:t>
      </w:r>
    </w:p>
    <w:p>
      <w:r>
        <w:rPr>
          <w:rFonts w:ascii="Courier New" w:hAnsi="Courier New"/>
          <w:sz w:val="17"/>
        </w:rPr>
        <w:t xml:space="preserve">    Ausgeprägte Knorpelschäden der Kniegelenke (z. B. Chondromalacia patellae Stadium II - IV) mit anhaltenden Reizerscheinungen, einseitig    </w:t>
      </w:r>
    </w:p>
    <w:p>
      <w:r>
        <w:rPr>
          <w:rFonts w:ascii="Courier New" w:hAnsi="Courier New"/>
          <w:sz w:val="17"/>
        </w:rPr>
        <w:t xml:space="preserve">        ohne Bewegungseinschränkung    10-30</w:t>
      </w:r>
    </w:p>
    <w:p>
      <w:r>
        <w:rPr>
          <w:rFonts w:ascii="Courier New" w:hAnsi="Courier New"/>
          <w:sz w:val="17"/>
        </w:rPr>
        <w:t xml:space="preserve">        mit Bewegungseinschränkung    20-40</w:t>
      </w:r>
    </w:p>
    <w:p>
      <w:r>
        <w:rPr>
          <w:rFonts w:ascii="Courier New" w:hAnsi="Courier New"/>
          <w:sz w:val="17"/>
        </w:rPr>
        <w:t xml:space="preserve">Schienbeinpseudarthrose    </w:t>
      </w:r>
    </w:p>
    <w:p>
      <w:r>
        <w:rPr>
          <w:rFonts w:ascii="Courier New" w:hAnsi="Courier New"/>
          <w:sz w:val="17"/>
        </w:rPr>
        <w:t xml:space="preserve">    straff    20-30</w:t>
      </w:r>
    </w:p>
    <w:p>
      <w:r>
        <w:rPr>
          <w:rFonts w:ascii="Courier New" w:hAnsi="Courier New"/>
          <w:sz w:val="17"/>
        </w:rPr>
        <w:t xml:space="preserve">    schlaff    40-50</w:t>
      </w:r>
    </w:p>
    <w:p>
      <w:r>
        <w:rPr>
          <w:rFonts w:ascii="Courier New" w:hAnsi="Courier New"/>
          <w:sz w:val="17"/>
        </w:rPr>
        <w:t xml:space="preserve">Teilverlust oder Pseudarthrose des Wadenbeins    0-10</w:t>
      </w:r>
    </w:p>
    <w:p>
      <w:r>
        <w:rPr>
          <w:rFonts w:ascii="Courier New" w:hAnsi="Courier New"/>
          <w:sz w:val="17"/>
        </w:rPr>
        <w:t xml:space="preserve">Versteifung des oberen Sprunggelenks in günstiger Stellung (Plantarflexion um 5° bis 15°)    20</w:t>
      </w:r>
    </w:p>
    <w:p>
      <w:r>
        <w:rPr>
          <w:rFonts w:ascii="Courier New" w:hAnsi="Courier New"/>
          <w:sz w:val="17"/>
        </w:rPr>
        <w:t xml:space="preserve">Versteifung des unteren Sprunggelenks in günstiger Stellung (Mittelstellung)    10</w:t>
      </w:r>
    </w:p>
    <w:p>
      <w:r>
        <w:rPr>
          <w:rFonts w:ascii="Courier New" w:hAnsi="Courier New"/>
          <w:sz w:val="17"/>
        </w:rPr>
        <w:t xml:space="preserve">Versteifung des oberen und unteren Sprunggelenks    </w:t>
      </w:r>
    </w:p>
    <w:p>
      <w:r>
        <w:rPr>
          <w:rFonts w:ascii="Courier New" w:hAnsi="Courier New"/>
          <w:sz w:val="17"/>
        </w:rPr>
        <w:t xml:space="preserve">    in günstiger Stellung    30</w:t>
      </w:r>
    </w:p>
    <w:p>
      <w:r>
        <w:rPr>
          <w:rFonts w:ascii="Courier New" w:hAnsi="Courier New"/>
          <w:sz w:val="17"/>
        </w:rPr>
        <w:t xml:space="preserve">    in ungünstiger Stellung    40</w:t>
      </w:r>
    </w:p>
    <w:p>
      <w:r>
        <w:rPr>
          <w:rFonts w:ascii="Courier New" w:hAnsi="Courier New"/>
          <w:sz w:val="17"/>
        </w:rPr>
        <w:t xml:space="preserve">Bewegungseinschränkung im oberen Sprunggelenk    </w:t>
      </w:r>
    </w:p>
    <w:p>
      <w:r>
        <w:rPr>
          <w:rFonts w:ascii="Courier New" w:hAnsi="Courier New"/>
          <w:sz w:val="17"/>
        </w:rPr>
        <w:t xml:space="preserve">    geringen Grades    0</w:t>
      </w:r>
    </w:p>
    <w:p>
      <w:r>
        <w:rPr>
          <w:rFonts w:ascii="Courier New" w:hAnsi="Courier New"/>
          <w:sz w:val="17"/>
        </w:rPr>
        <w:t xml:space="preserve">    mittleren Grades (Heben/Senken 0-0-30)    10</w:t>
      </w:r>
    </w:p>
    <w:p>
      <w:r>
        <w:rPr>
          <w:rFonts w:ascii="Courier New" w:hAnsi="Courier New"/>
          <w:sz w:val="17"/>
        </w:rPr>
        <w:t xml:space="preserve">    stärkeren Grades    20</w:t>
      </w:r>
    </w:p>
    <w:p>
      <w:r>
        <w:rPr>
          <w:rFonts w:ascii="Courier New" w:hAnsi="Courier New"/>
          <w:sz w:val="17"/>
        </w:rPr>
        <w:t xml:space="preserve">Bewegungseinschränkung im unteren Sprunggelenk    0-10</w:t>
      </w:r>
    </w:p>
    <w:p>
      <w:r>
        <w:rPr>
          <w:rFonts w:ascii="Courier New" w:hAnsi="Courier New"/>
          <w:sz w:val="17"/>
        </w:rPr>
        <w:t xml:space="preserve">Klumpfuß je nach Funktionsstörung    </w:t>
      </w:r>
    </w:p>
    <w:p>
      <w:r>
        <w:rPr>
          <w:rFonts w:ascii="Courier New" w:hAnsi="Courier New"/>
          <w:sz w:val="17"/>
        </w:rPr>
        <w:t xml:space="preserve">    einseitig    20-40</w:t>
      </w:r>
    </w:p>
    <w:p>
      <w:r>
        <w:rPr>
          <w:rFonts w:ascii="Courier New" w:hAnsi="Courier New"/>
          <w:sz w:val="17"/>
        </w:rPr>
        <w:t xml:space="preserve">    beidseitig    30-60</w:t>
      </w:r>
    </w:p>
    <w:p>
      <w:r>
        <w:rPr>
          <w:rFonts w:ascii="Courier New" w:hAnsi="Courier New"/>
          <w:sz w:val="17"/>
        </w:rPr>
        <w:t xml:space="preserve">Andere Fußdeformitäten    </w:t>
      </w:r>
    </w:p>
    <w:p>
      <w:r>
        <w:rPr>
          <w:rFonts w:ascii="Courier New" w:hAnsi="Courier New"/>
          <w:sz w:val="17"/>
        </w:rPr>
        <w:t xml:space="preserve">    ohne wesentliche statische Auswirkungen (z. B. Senk-Spreizfuß, Hohlfuß, Knickfuß, auch posttraumatisch)    0</w:t>
      </w:r>
    </w:p>
    <w:p>
      <w:r>
        <w:rPr>
          <w:rFonts w:ascii="Courier New" w:hAnsi="Courier New"/>
          <w:sz w:val="17"/>
        </w:rPr>
        <w:t xml:space="preserve">    mit statischer Auswirkung je nach Funktionsstörung    </w:t>
      </w:r>
    </w:p>
    <w:p>
      <w:r>
        <w:rPr>
          <w:rFonts w:ascii="Courier New" w:hAnsi="Courier New"/>
          <w:sz w:val="17"/>
        </w:rPr>
        <w:t xml:space="preserve">        geringen Grades    10</w:t>
      </w:r>
    </w:p>
    <w:p>
      <w:r>
        <w:rPr>
          <w:rFonts w:ascii="Courier New" w:hAnsi="Courier New"/>
          <w:sz w:val="17"/>
        </w:rPr>
        <w:t xml:space="preserve">        stärkeren Grades    20</w:t>
      </w:r>
    </w:p>
    <w:p>
      <w:r>
        <w:rPr>
          <w:rFonts w:ascii="Courier New" w:hAnsi="Courier New"/>
          <w:sz w:val="17"/>
        </w:rPr>
        <w:t xml:space="preserve">Versteifung aller Zehen eines Fußes    </w:t>
      </w:r>
    </w:p>
    <w:p>
      <w:r>
        <w:rPr>
          <w:rFonts w:ascii="Courier New" w:hAnsi="Courier New"/>
          <w:sz w:val="17"/>
        </w:rPr>
        <w:t xml:space="preserve">    in günstiger Stellung    10</w:t>
      </w:r>
    </w:p>
    <w:p>
      <w:r>
        <w:rPr>
          <w:rFonts w:ascii="Courier New" w:hAnsi="Courier New"/>
          <w:sz w:val="17"/>
        </w:rPr>
        <w:t xml:space="preserve">    in ungünstiger Stellung    20</w:t>
      </w:r>
    </w:p>
    <w:p>
      <w:r>
        <w:rPr>
          <w:rFonts w:ascii="Courier New" w:hAnsi="Courier New"/>
          <w:sz w:val="17"/>
        </w:rPr>
        <w:t xml:space="preserve">Versteifungen oder Verkrümmungen von Zehen außer der Großzehe    0</w:t>
      </w:r>
    </w:p>
    <w:p>
      <w:r>
        <w:rPr>
          <w:rFonts w:ascii="Courier New" w:hAnsi="Courier New"/>
          <w:sz w:val="17"/>
        </w:rPr>
        <w:t xml:space="preserve">Versteifung der Großzehengelenke    </w:t>
      </w:r>
    </w:p>
    <w:p>
      <w:r>
        <w:rPr>
          <w:rFonts w:ascii="Courier New" w:hAnsi="Courier New"/>
          <w:sz w:val="17"/>
        </w:rPr>
        <w:t xml:space="preserve">    in günstiger Stellung    0-10</w:t>
      </w:r>
    </w:p>
    <w:p>
      <w:r>
        <w:rPr>
          <w:rFonts w:ascii="Courier New" w:hAnsi="Courier New"/>
          <w:sz w:val="17"/>
        </w:rPr>
        <w:t xml:space="preserve">    in ungünstiger Stellung (z. B. Plantarflexion im Grundgelenk über 10°)    20</w:t>
      </w:r>
    </w:p>
    <w:p>
      <w:r>
        <w:rPr>
          <w:rFonts w:ascii="Courier New" w:hAnsi="Courier New"/>
          <w:sz w:val="17"/>
        </w:rPr>
        <w:t xml:space="preserve">Narben nach größeren Substanzverlusten an Ferse und Fußsohle    </w:t>
      </w:r>
    </w:p>
    <w:p>
      <w:r>
        <w:rPr>
          <w:rFonts w:ascii="Courier New" w:hAnsi="Courier New"/>
          <w:sz w:val="17"/>
        </w:rPr>
        <w:t xml:space="preserve">    mit geringer Funktionsbehinderung    10</w:t>
      </w:r>
    </w:p>
    <w:p>
      <w:r>
        <w:rPr>
          <w:rFonts w:ascii="Courier New" w:hAnsi="Courier New"/>
          <w:sz w:val="17"/>
        </w:rPr>
        <w:t xml:space="preserve">    mit starker Funktionsbehinderung    20-30</w:t>
      </w:r>
    </w:p>
    <w:p>
      <w:r>
        <w:rPr>
          <w:rFonts w:ascii="Courier New" w:hAnsi="Courier New"/>
          <w:sz w:val="17"/>
        </w:rPr>
        <w:t xml:space="preserve">Nervenausfälle (vollständig)    </w:t>
      </w:r>
    </w:p>
    <w:p>
      <w:r>
        <w:rPr>
          <w:rFonts w:ascii="Courier New" w:hAnsi="Courier New"/>
          <w:sz w:val="17"/>
        </w:rPr>
        <w:t xml:space="preserve">    Plexus lumbosacralis    80</w:t>
      </w:r>
    </w:p>
    <w:p>
      <w:r>
        <w:rPr>
          <w:rFonts w:ascii="Courier New" w:hAnsi="Courier New"/>
          <w:sz w:val="17"/>
        </w:rPr>
        <w:t xml:space="preserve">    N. glutaeus superior    20</w:t>
      </w:r>
    </w:p>
    <w:p>
      <w:r>
        <w:rPr>
          <w:rFonts w:ascii="Courier New" w:hAnsi="Courier New"/>
          <w:sz w:val="17"/>
        </w:rPr>
        <w:t xml:space="preserve">    N. glutaeus inferior    20</w:t>
      </w:r>
    </w:p>
    <w:p>
      <w:r>
        <w:rPr>
          <w:rFonts w:ascii="Courier New" w:hAnsi="Courier New"/>
          <w:sz w:val="17"/>
        </w:rPr>
        <w:t xml:space="preserve">    N. cutaneus femoralis lat    10</w:t>
      </w:r>
    </w:p>
    <w:p>
      <w:r>
        <w:rPr>
          <w:rFonts w:ascii="Courier New" w:hAnsi="Courier New"/>
          <w:sz w:val="17"/>
        </w:rPr>
        <w:t xml:space="preserve">    N. femoralis    40</w:t>
      </w:r>
    </w:p>
    <w:p>
      <w:r>
        <w:rPr>
          <w:rFonts w:ascii="Courier New" w:hAnsi="Courier New"/>
          <w:sz w:val="17"/>
        </w:rPr>
        <w:t xml:space="preserve">    N. ischiadicus    </w:t>
      </w:r>
    </w:p>
    <w:p>
      <w:r>
        <w:rPr>
          <w:rFonts w:ascii="Courier New" w:hAnsi="Courier New"/>
          <w:sz w:val="17"/>
        </w:rPr>
        <w:t xml:space="preserve">        proximal    60</w:t>
      </w:r>
    </w:p>
    <w:p>
      <w:r>
        <w:rPr>
          <w:rFonts w:ascii="Courier New" w:hAnsi="Courier New"/>
          <w:sz w:val="17"/>
        </w:rPr>
        <w:t xml:space="preserve">        distal (Ausfall der Nn. peronaeus communis und tibialis)    50</w:t>
      </w:r>
    </w:p>
    <w:p>
      <w:r>
        <w:rPr>
          <w:rFonts w:ascii="Courier New" w:hAnsi="Courier New"/>
          <w:sz w:val="17"/>
        </w:rPr>
        <w:t xml:space="preserve">    N. peronaeus communis oder profundus    30</w:t>
      </w:r>
    </w:p>
    <w:p>
      <w:r>
        <w:rPr>
          <w:rFonts w:ascii="Courier New" w:hAnsi="Courier New"/>
          <w:sz w:val="17"/>
        </w:rPr>
        <w:t xml:space="preserve">    N. peronaeus superficialis    20</w:t>
      </w:r>
    </w:p>
    <w:p>
      <w:r>
        <w:rPr>
          <w:rFonts w:ascii="Courier New" w:hAnsi="Courier New"/>
          <w:sz w:val="17"/>
        </w:rPr>
        <w:t xml:space="preserve">    N. tibialis    30</w:t>
      </w:r>
    </w:p>
    <w:p>
      <w:r>
        <w:rPr>
          <w:rFonts w:ascii="Courier New" w:hAnsi="Courier New"/>
          <w:sz w:val="17"/>
        </w:rPr>
        <w:t xml:space="preserve">Trophische Störungen sind zusätzlich zu berücksichtigen. Teilausfälle der genannten Nerven sind entsprechend geringer zu bewerten.</w:t>
      </w:r>
    </w:p>
    <w:p>
      <w:r>
        <w:rPr>
          <w:rFonts w:ascii="Courier New" w:hAnsi="Courier New"/>
          <w:sz w:val="17"/>
        </w:rPr>
        <w:t xml:space="preserve">Völlige Gebrauchsunfähigkeit eines Beines    80</w:t>
      </w:r>
    </w:p>
    <w:p>
      <w:r>
        <w:t xml:space="preserve">Teil C: Begutachtung im Sozialen Entschädigungsrecht</w:t>
      </w:r>
    </w:p>
    <w:p>
      <w:pPr>
        <w:ind w:left="420"/>
      </w:pPr>
      <w:r>
        <w:t xml:space="preserve">1 Grundsätze zur Begutachtung im Sozialen EntschädigungsrechtDie Grundsätze, die im Sozialen Entschädigungsrecht zur Anerkennung einer Gesundheitsstörung als Folge einer Schädigung maßgebend sind, werden in diesem Teil der Versorgungsmedizinischen Grundsätze aufgestellt. Die Auswirkungen der als Schädigungsfolgen anerkannten Gesundheitsstörungen werden mit einem Grad der Schädigungsfolgen bewertet. Die ärztliche Bewertung der Auswirkungen der Schädigungsfolgen erfolgt nach Teil A und Teil B.Als Voraussetzung für die ärztliche Begutachtung des ursächlichen Zusammenhangs müssen alle Tatsachen festgestellt sein. Die Feststellung der Tatsachen erfolgt unabhängig von kausalen Erwägungen. Es muss unterschieden werden zwischen ärztlicher Begutachtung im Rahmen der Tatsachenermittlung und der ärztlichen Begutachtung des ursächlichen Zusammenhangs.</w:t>
      </w:r>
    </w:p>
    <w:p>
      <w:pPr>
        <w:ind w:left="420"/>
      </w:pPr>
      <w:r>
        <w:t xml:space="preserve">2 Tatsachen für die Begutachtung des ursächlichen Zusammenhangs</w:t>
      </w:r>
    </w:p>
    <w:p>
      <w:pPr>
        <w:ind w:left="420"/>
      </w:pPr>
      <w:r>
        <w:t xml:space="preserve">2.1 TatsachenVor der ärztlichen Begutachtung des ursächlichen Zusammenhangs müssen folgende Tatsachen festgestellt und voll bewiesen sein:</w:t>
      </w:r>
    </w:p>
    <w:p>
      <w:pPr>
        <w:ind w:left="780"/>
      </w:pPr>
      <w:r>
        <w:t xml:space="preserve">a) das Ereignis, das bei nachgewiesenem ursächlichem Zusammenhang das schädigende Ereignis ist,</w:t>
      </w:r>
    </w:p>
    <w:p>
      <w:pPr>
        <w:ind w:left="780"/>
      </w:pPr>
      <w:r>
        <w:t xml:space="preserve">b) die Gesundheitsstörung, die bei nachgewiesenem ursächlichem Zusammenhang die gesundheitliche Schädigung ist (primäre Gesundheitsstörung), und</w:t>
      </w:r>
    </w:p>
    <w:p>
      <w:pPr>
        <w:ind w:left="780"/>
      </w:pPr>
      <w:r>
        <w:t xml:space="preserve">c) die Gesundheitsstörung, die bei nachgewiesenem ursächlichem Zusammenhang die Schädigungsfolge ist (sekundäre Gesundheitsstörung).</w:t>
      </w:r>
    </w:p>
    <w:p>
      <w:pPr>
        <w:ind w:left="420"/>
      </w:pPr>
      <w:r>
        <w:t xml:space="preserve">2.2 EreignisDie in Betracht kommenden schädigenden Ereignisse unterscheiden sich je nach den Voraussetzungen der verschiedenen Gesetze des Sozialen Entschädigungsrechts. Ereignis in diesem Sinne kann sein:</w:t>
      </w:r>
    </w:p>
    <w:p>
      <w:pPr>
        <w:ind w:left="780"/>
      </w:pPr>
      <w:r>
        <w:t xml:space="preserve">a) ein zeitlich begrenztes Ereignis,</w:t>
      </w:r>
    </w:p>
    <w:p>
      <w:pPr>
        <w:ind w:left="780"/>
      </w:pPr>
      <w:r>
        <w:t xml:space="preserve">b) ein über einen längeren Zeitraum einwirkendes Ereignis (andauerndes Ereignis) oder</w:t>
      </w:r>
    </w:p>
    <w:p>
      <w:pPr>
        <w:ind w:left="780"/>
      </w:pPr>
      <w:r>
        <w:t xml:space="preserve">c) wiederkehrende Ereignisse, die sich in ihrer Gesamtheit auswirken.</w:t>
      </w:r>
    </w:p>
    <w:p>
      <w:pPr>
        <w:ind w:left="420"/>
      </w:pPr>
      <w:r>
        <w:t xml:space="preserve">Es gibt aktiv einwirkende Ereignisse und passive Ereignisse durch Unterlassen.</w:t>
      </w:r>
    </w:p>
    <w:p>
      <w:pPr>
        <w:ind w:left="420"/>
      </w:pPr>
      <w:r>
        <w:t xml:space="preserve">2.3 Primäre GesundheitsstörungPrimäre Gesundheitsstörungen sind solche, die nach dem aktuellen Stand der medizinischen Wissenschaft durch ein unter Nummer 2.2 beschriebenes Ereignis hervorgerufen werden können und zeitlich als erste auftreten.</w:t>
      </w:r>
    </w:p>
    <w:p>
      <w:pPr>
        <w:ind w:left="420"/>
      </w:pPr>
      <w:r>
        <w:t xml:space="preserve">2.4 Sekundäre GesundheitsstörungSekundäre Gesundheitsstörungen sind solche, die nach dem aktuellen Stand der medizinischen Wissenschaft aus der primären Gesundheitsstörung entstehen können.</w:t>
      </w:r>
    </w:p>
    <w:p>
      <w:pPr>
        <w:ind w:left="420"/>
      </w:pPr>
      <w:r>
        <w:t xml:space="preserve">3 Ursächlicher Zusammenhang</w:t>
      </w:r>
    </w:p>
    <w:p>
      <w:pPr>
        <w:ind w:left="420"/>
      </w:pPr>
      <w:r>
        <w:t xml:space="preserve">3.1 AllgemeinesNur wenn die unter Nummer 2.1 genannten Tatsachen ermittelt und im Sinne von Nummer 2.1 bewiesen sind, kann die ärztliche Begutachtung des ursächlichen Zusammenhangs erfolgen. Die Gesundheitsstörungen, die vor Eintritt des schädigenden Vorgangs bestanden haben oder bei Eintritt bestehen, sind von der primären und sekundären Gesundheitsstörung abzugrenzen.</w:t>
      </w:r>
    </w:p>
    <w:p>
      <w:pPr>
        <w:ind w:left="420"/>
      </w:pPr>
      <w:r>
        <w:t xml:space="preserve">3.2 KausalketteZwischen dem Ereignis, der primären und der sekundären Gesundheitsstörung muss ein nach dem aktuellen Stand der medizinischen Wissenschaft nicht unterbrochener ursächlicher Zusammenhang bestehen. Die primäre Gesundheitsstörung muss durch das Ereignis verursacht sein und die sekundäre Gesundheitsstörung muss durch die primäre Gesundheitsstörung verursacht sein. Erst in diesem Fall ist der ursächliche Zusammenhang gegeben.</w:t>
      </w:r>
    </w:p>
    <w:p>
      <w:pPr>
        <w:ind w:left="420"/>
      </w:pPr>
      <w:r>
        <w:t xml:space="preserve">3.3 Schädigendes Ereignis, gesundheitliche Schädigung, SchädigungsfolgeIst der ursächliche Zusammenhang im Sinne von Nummer 3.2 zu bejahen, ist</w:t>
      </w:r>
    </w:p>
    <w:p>
      <w:pPr>
        <w:ind w:left="780"/>
      </w:pPr>
      <w:r>
        <w:t xml:space="preserve">a) das Ereignis das schädigende Ereignis,</w:t>
      </w:r>
    </w:p>
    <w:p>
      <w:pPr>
        <w:ind w:left="780"/>
      </w:pPr>
      <w:r>
        <w:t xml:space="preserve">b) die primäre Gesundheitsstörung die gesundheitliche Schädigung und</w:t>
      </w:r>
    </w:p>
    <w:p>
      <w:pPr>
        <w:ind w:left="780"/>
      </w:pPr>
      <w:r>
        <w:t xml:space="preserve">c) die sekundäre Gesundheitsstörung die Gesundheitsstörung als Folge der Schädigung (Schädigungsfolge).</w:t>
      </w:r>
    </w:p>
    <w:p>
      <w:pPr>
        <w:ind w:left="420"/>
      </w:pPr>
      <w:r>
        <w:t xml:space="preserve">3.4 Wahrscheinlichkeit des ursächlichen Zusammenhangs</w:t>
      </w:r>
    </w:p>
    <w:p>
      <w:pPr>
        <w:ind w:left="420"/>
      </w:pPr>
      <w:r>
        <w:t xml:space="preserve">3.4.1 Für die Annahme des ursächlichen Zusammenhangs genügt entschädigungsrechtlich die Wahrscheinlichkeit. Sie ist gegeben, wenn nach dem aktuellen Stand der medizinischen Wissenschaft mehr für als gegen einen ursächlichen Zusammenhang spricht. Es reicht für die Annahme des ursächlichen Zusammenhangs nicht aus, dass dieser nur möglich ist.</w:t>
      </w:r>
    </w:p>
    <w:p>
      <w:pPr>
        <w:ind w:left="420"/>
      </w:pPr>
      <w:r>
        <w:t xml:space="preserve">3.4.2 Haben konkurrierende Ursachen zur primären Gesundheitsstörung beigetragen und kommt einem Ereignis gegenüber der Gesamtheit der anderen Ursachen eine mindestens gleichwertige Bedeutung zu, ist alleine jenes Ereignis schädigendes Ereignis und wesentliche Ursache im entschädigungsrechtlichen Sinn.</w:t>
      </w:r>
    </w:p>
    <w:p>
      <w:pPr>
        <w:ind w:left="420"/>
      </w:pPr>
      <w:r>
        <w:t xml:space="preserve">3.4.3 Nummer 3.4.2 gilt entsprechend, wenn die sekundäre Gesundheitsstörung auf konkurrierenden Ursachen beruht.</w:t>
      </w:r>
    </w:p>
    <w:p>
      <w:pPr>
        <w:ind w:left="420"/>
      </w:pPr>
      <w:r>
        <w:t xml:space="preserve">3.4.4 Bei der Anwendung der Vermutungsregelung des § 4 Absatz 5 des Vierzehnten Buches Sozialgesetzbuch (SGB XIV) gilt Folgendes: Bei einer psychischen Gesundheitsstörung wird der ursächliche Zusammenhang kraft Gesetzes vermutet, wenn die Vermutung nicht durch einen anderen Kausalverlauf widerlegt wird (§ 4 Absatz 5 SGB XIV). Voraussetzung ist, dass die psychische Gesundheitsstörung nach einer der international anerkannten Klassifikationen (ICD-10 bzw. ICD-11 oder DSM-5) unter Verwendung der dortigen Bezeichnungen auf der Grundlage des aktuellen medizinisch-wissenschaftlichen Kenntnisstandes durch behandelnde Ärzte und Fachärzte diagnostiziert worden ist. Das schädigende Ereignis muss in seiner Art und Schwere nach den Erfahrungen der medizinischen Wissenschaft geeignet sein, diese Gesundheitsstörung zu begründen. Die Diagnosesicherung beinhaltet auch die Differenzierung zwischen Entstehung und Verschlimmerung der psychischen Gesundheitsstörung. Liegen diese Voraussetzungen vor, ist die Wahrscheinlichkeit des ursächlichen Zusammenhangs im Sinne einer Kausalitätsprüfung (Nummer 3.4.1 bis 3.4.3) zu vermuten, wenn keine Anhaltspunkte für einen anderen ursächlichen Zusammenhang vorliegen.</w:t>
      </w:r>
    </w:p>
    <w:p>
      <w:pPr>
        <w:ind w:left="420"/>
      </w:pPr>
      <w:r>
        <w:t xml:space="preserve">3.4.5 Bei Vorliegen von Anhaltspunkten für einen anderen Kausalverlauf ist die Wahrscheinlichkeit des ursächlichen Zusammenhangs nach Nummer 3.4.1 bis 3.4.3 zu prüfen.</w:t>
      </w:r>
    </w:p>
    <w:p>
      <w:pPr>
        <w:ind w:left="420"/>
      </w:pPr>
      <w:r>
        <w:t xml:space="preserve">3.4.6 Anhaltspunkte für einen anderen Kausalverlauf liegen insbesondere dann vor,</w:t>
      </w:r>
    </w:p>
    <w:p>
      <w:pPr>
        <w:ind w:left="780"/>
      </w:pPr>
      <w:r>
        <w:t xml:space="preserve">a) wenn Art und Schwere des Ereignisses nicht geeignet sind, eine psychische Gesundheitsstörung als Schädigungsfolge hervorzurufen,</w:t>
      </w:r>
    </w:p>
    <w:p>
      <w:pPr>
        <w:ind w:left="780"/>
      </w:pPr>
      <w:r>
        <w:t xml:space="preserve">b) wenn sich bei der Tatsachenfeststellung nach Nummer 2 Hinweise auf eine bereits vor dem schädigenden Ereignis bestehende psychische Gesundheitsstörung ergeben,</w:t>
      </w:r>
    </w:p>
    <w:p>
      <w:pPr>
        <w:ind w:left="780"/>
      </w:pPr>
      <w:r>
        <w:t xml:space="preserve">c) wenn sich bei der Tatsachenfeststellung nach Nummer 2 Hinweise auf ein anderes, jedoch nicht nach § 4 Absatz 1 des Vierzehnten Buches Sozialgesetzbuch zu berücksichtigendes schädigendes Ereignis ergeben, das nach Art und Schwere für sich betrachtet geeignet ist, eine psychische Gesundheitsstörung hervorzurufen, oder</w:t>
      </w:r>
    </w:p>
    <w:p>
      <w:pPr>
        <w:ind w:left="780"/>
      </w:pPr>
      <w:r>
        <w:t xml:space="preserve">d) wenn nach aktuellem medizinisch-wissenschaftlichem Kenntnisstand ein Ursachenzusammenhang zwischen einem auf die Psyche einwirkenden schädigenden Ereignis und einer psychischen Gesundheitsstörung nicht vorliegen kann, wie dies insbesondere bei der Entstehung von dementiellen und Intelligenzstörungen der Fall ist; das Auftreten einer komorbiden psychischen Gesundheitsstörung oder eine Verschlechterung der Auswirkungen von dementiellen oder Intelligenzstörungen auf die Teilhabe als Folge eines auf die Psyche einwirkenden schädigenden Ereignisses ist dadurch nicht ausgeschlossen.</w:t>
      </w:r>
    </w:p>
    <w:p>
      <w:pPr>
        <w:ind w:left="420"/>
      </w:pPr>
      <w:r>
        <w:t xml:space="preserve">4 Kann-Versorgung</w:t>
      </w:r>
    </w:p>
    <w:p>
      <w:pPr>
        <w:ind w:left="420"/>
      </w:pPr>
      <w:r>
        <w:t xml:space="preserve">4.1 Im Sozialen Entschädigungsrecht muss anhand des Sachverhaltes in jedem Einzelfall stets zuerst geprüft werden, ob nach Nummer 3.4 der ursächliche Zusammenhang mit Wahrscheinlichkeit beurteilt werden kann. Lässt sich dabei die Frage des ursächlichen Zusammenhangs bereits in ihrer Gesamtheit bejahen oder verneinen, ist die entsprechende Prüfung abgeschlossen und eine Kann-Versorgung kommt nicht in Betracht.</w:t>
      </w:r>
    </w:p>
    <w:p>
      <w:pPr>
        <w:ind w:left="420"/>
      </w:pPr>
      <w:r>
        <w:t xml:space="preserve">4.2 Lässt sich die Frage des ursächlichen Zusammenhangs im Sinne von Nummer 3.4 nicht bejahen oder verneinen, kann in Ausnahmefällen eine Gesundheitsstörung im Sinne der Kann-Versorgung als Schädigungsfolge anerkannt werden. Voraussetzung dafür ist, dass die zur Anerkennung einer Gesundheitsstörung als Folge einer Schädigung erforderliche Wahrscheinlichkeit nur deshalb nicht gegeben ist, weil über die Ursache der festgestellten Gesundheitsstörung in der medizinischen Wissenschaft Ungewissheit besteht.</w:t>
      </w:r>
    </w:p>
    <w:p>
      <w:pPr>
        <w:ind w:left="420"/>
      </w:pPr>
      <w:r>
        <w:t xml:space="preserve">4.3 Eine Kann-Versorgung kommt nur dann in Betracht, wenn die einer Gesundheitsstörung zugrundeliegende Ursache (Ätiologie) nicht durch den aktuellen Stand der medizinischen Wissenschaft gesichert ist und wenn fundierte wissenschaftliche Arbeitshypothesen einen ursächlichen Zusammenhang begründen. Eine von dem aktuellen Stand der medizinischen Wissenschaft abweichende subjektive Auffassung eines einzelnen Wissenschaftlers oder einer einzelnen Wissenschaftlerin ist nicht mit Ungewissheit in der medizinischen Wissenschaft gleichzusetzen.</w:t>
      </w:r>
    </w:p>
    <w:p>
      <w:pPr>
        <w:ind w:left="420"/>
      </w:pPr>
      <w:r>
        <w:t xml:space="preserve">4.4 Eine Kann-Versorgung rechtfertigen nicht:</w:t>
      </w:r>
    </w:p>
    <w:p>
      <w:pPr>
        <w:ind w:left="780"/>
      </w:pPr>
      <w:r>
        <w:t xml:space="preserve">a) Zweifel über den Zeitpunkt der Entstehung der Gesundheitsstörung,</w:t>
      </w:r>
    </w:p>
    <w:p>
      <w:pPr>
        <w:ind w:left="780"/>
      </w:pPr>
      <w:r>
        <w:t xml:space="preserve">b) mangelnde diagnostische Klärung,</w:t>
      </w:r>
    </w:p>
    <w:p>
      <w:pPr>
        <w:ind w:left="780"/>
      </w:pPr>
      <w:r>
        <w:t xml:space="preserve">c) unzureichende Sachverhaltsaufklärung oder</w:t>
      </w:r>
    </w:p>
    <w:p>
      <w:pPr>
        <w:ind w:left="780"/>
      </w:pPr>
      <w:r>
        <w:t xml:space="preserve">d) sonstige Ungewissheiten im Sachverhalt.</w:t>
      </w:r>
    </w:p>
    <w:p>
      <w:pPr>
        <w:ind w:left="420"/>
      </w:pPr>
      <w:r>
        <w:t xml:space="preserve">4.5 Ist die Wahrscheinlichkeit des ursächlichen Zusammenhangs nur für einen Teil einer Gesundheitsstörung gegeben, so ist zu prüfen, ob für den verbleibenden Teil der Gesundheitsstörung die Voraussetzungen für eine Kann-Versorgung vorliegen.</w:t>
      </w:r>
    </w:p>
    <w:p>
      <w:pPr>
        <w:ind w:left="420"/>
      </w:pPr>
      <w:r>
        <w:t xml:space="preserve">5 Anerkennung der Schädigungsfolge im Sinne der Entstehung und Anerkennung der Schädigungsfolge im Sinne der Verschlimmerung</w:t>
      </w:r>
    </w:p>
    <w:p>
      <w:pPr>
        <w:ind w:left="420"/>
      </w:pPr>
      <w:r>
        <w:t xml:space="preserve">5.1 AllgemeinesBei Vorliegen des ursächlichen Zusammenhangs ist auf der Grundlage des aktuellen Stands der medizinischen Wissenschaft zu beurteilen, ob das schädigende Ereignis zur Entstehung oder zur Verschlimmerung der Gesundheitsstörung geführt hat.</w:t>
      </w:r>
    </w:p>
    <w:p>
      <w:pPr>
        <w:ind w:left="420"/>
      </w:pPr>
      <w:r>
        <w:t xml:space="preserve">5.2 Anerkennung im Sinne der EntstehungDie Anerkennung einer Gesundheitsstörung als Schädigungsfolge im Sinne der Entstehung setzt voraus, dass keine medizinischen Tatsachen festzustellen sind, die rückblickend nach dem aktuellen Stand der medizinischen Wissenschaft belegen, dass die Gesundheitsstörung zur Zeit der Einwirkung des schädigenden Ereignisses bereits bestand.</w:t>
      </w:r>
    </w:p>
    <w:p>
      <w:pPr>
        <w:ind w:left="420"/>
      </w:pPr>
      <w:r>
        <w:t xml:space="preserve">5.3 Anerkennung im Sinne der VerschlimmerungWenn medizinische Tatsachen festzustellen sind, die rückblickend nach dem aktuellen Stand der medizinischen Wissenschaft belegen, dass die Gesundheitsstörung zur Zeit der Einwirkung des schädigenden Ereignisses bereits – auch unbemerkt – bestand, kommt nur eine Anerkennung der Gesundheitsstörung als Schädigungsfolge im Sinne der Verschlimmerung in Betracht. Eine solche Anerkennung setzt voraus, dass das schädigende Ereignis dazu führt,</w:t>
      </w:r>
    </w:p>
    <w:p>
      <w:pPr>
        <w:ind w:left="780"/>
      </w:pPr>
      <w:r>
        <w:t xml:space="preserve">a) dass der Zeitpunkt vorverlegt wird, an dem die Gesundheitsstörung sonst in Erscheinung getreten wäre, oder</w:t>
      </w:r>
    </w:p>
    <w:p>
      <w:pPr>
        <w:ind w:left="780"/>
      </w:pPr>
      <w:r>
        <w:t xml:space="preserve">b) dass die Gesundheitsstörung in stärkerer Ausprägung auftritt, als es sonst zu erwarten wäre.</w:t>
      </w:r>
    </w:p>
    <w:p>
      <w:pPr>
        <w:ind w:left="420"/>
      </w:pPr>
      <w:r>
        <w:t xml:space="preserve">5.4 Zunahme der Ausprägung der GesundheitsstörungBei jeder weiteren Zunahme der Ausprägung der als Schädigungsfolge anerkannten Gesundheitsstörung ist zu prüfen, ob auch diese Zunahme noch ursächlich auf das schädigende Ereignis zurückzuführen ist. Bei jeder weiteren Zunahme der Ausprägung der Gesundheitsstörung muss der ursächliche Zusammenhang dieser Weiterentwicklung beurteilt werden.</w:t>
      </w:r>
    </w:p>
    <w:p>
      <w:pPr>
        <w:ind w:left="420"/>
      </w:pPr>
      <w:r>
        <w:t xml:space="preserve">6 Bestimmung des Grades der Schädigungsfolgen</w:t>
      </w:r>
    </w:p>
    <w:p>
      <w:pPr>
        <w:ind w:left="420"/>
      </w:pPr>
      <w:r>
        <w:t xml:space="preserve">6.1 Vorübergehende GesundheitsstörungenVorübergehende Gesundheitsstörungen sind bei der Feststellung des Grades der Schädigungsfolgen nicht zu berücksichtigen. Als vorübergehend gilt ein Zeitraum von bis zu sechs Monaten.</w:t>
      </w:r>
    </w:p>
    <w:p>
      <w:pPr>
        <w:ind w:left="420"/>
      </w:pPr>
      <w:r>
        <w:t xml:space="preserve">6.2 Bereits bestehende Gesundheitsstörungen</w:t>
      </w:r>
    </w:p>
    <w:p>
      <w:pPr>
        <w:ind w:left="420"/>
      </w:pPr>
      <w:r>
        <w:t xml:space="preserve">6.2.1 Vor der Feststellung des Grades der Schädigungsfolgen ist zu prüfen, ob vor dem schädigenden Ereignis bereits eine Teilhabebeeinträchtigung durch eine nicht schädigungsbedingte Gesundheitsstörung (bereits bestehende Gesundheitsstörung) vorlag. Diese Teilhabebeeinträchtigung muss festgestellt werden. Auch für die Gesamtauswirkung der vorhandenen Gesundheitsstörungen ist ein Grad der Behinderung anzugeben. Der Grad der Schädigungsfolgen gibt allein das Ausmaß der Auswirkungen der Schädigungsfolgen wieder.</w:t>
      </w:r>
    </w:p>
    <w:p>
      <w:pPr>
        <w:ind w:left="420"/>
      </w:pPr>
      <w:r>
        <w:t xml:space="preserve">6.2.2 Befinden sich die bereits bestehende Gesundheitsstörung und die Schädigungsfolge an verschiedenen Körperteilen und beeinflussen sich nicht gegenseitig, hat die bereits bestehende Gesundheitsstörung keine Auswirkung auf den Grad der Schädigungsfolgen.</w:t>
      </w:r>
    </w:p>
    <w:p>
      <w:pPr>
        <w:ind w:left="420"/>
      </w:pPr>
      <w:r>
        <w:t xml:space="preserve">6.2.3 Hat die Schädigung eine Gliedmaße oder ein Organ mit bereits bestehender Gesundheitsstörung betroffen, muss der Grad der Schädigungsfolgen niedriger sein als der Grad der Behinderung, der sich aus der nun bestehenden gesamten Gesundheitsstörung ergeben würde. Der Grad der Schädigungsfolgen lässt sich dabei nicht einfach dadurch ermitteln, dass die Teilhabebeeinträchtigung der bereits bestehenden Gesundheitsstörung vom Grad der Behinderung der gesamten Gesundheitsstörung abgezogen wird. Maßgeblich ist vielmehr, zu welchen zusätzlichen Auswirkungen die Schädigung geführt hat. Wenn jedoch die bereits bestehende Gesundheitsstörung nach ihrem Umfang oder nach ihrer Art keine wesentliche Bedeutung für die gesamte Gesundheitsstörung hat, ist der Grad der Schädigungsfolgen genauso hoch wie der Grad der Behinderung, der sich aus der nun bestehenden gesamten Gesundheitsstörung ergibt.</w:t>
      </w:r>
    </w:p>
    <w:p>
      <w:pPr>
        <w:ind w:left="420"/>
      </w:pPr>
      <w:r>
        <w:t xml:space="preserve">6.2.4 Sind durch die bereits bestehende schädigungsunabhängige Gesundheitsstörung und durch die Schädigungsfolge verschiedene Organe, Gliedmaßen oder paarige Organe betroffen und verstärkt die bereits bestehende schädigungsunabhängige Gesundheitsstörung die Auswirkungen der schädigungsbedingten Funktionsstörung, ist der Grad der Schädigungsfolgen höher zu bewerten als bei isolierter Betrachtung der Schädigungsfolge.</w:t>
      </w:r>
    </w:p>
    <w:p>
      <w:pPr>
        <w:ind w:left="420"/>
      </w:pPr>
      <w:r>
        <w:t xml:space="preserve">6.3 Veränderung des Grades der Schädigungsfolgen</w:t>
      </w:r>
    </w:p>
    <w:p>
      <w:pPr>
        <w:ind w:left="420"/>
      </w:pPr>
      <w:r>
        <w:t xml:space="preserve">6.3.1 Ein schädigendes Ereignis kann zu einer zeitlich begrenzten Zunahme der Ausprägung einer Gesundheitsstörung führen und damit zu keinem oder nur zeitlich begrenzt zu einem Grad der Schädigungsfolgen.</w:t>
      </w:r>
    </w:p>
    <w:p>
      <w:pPr>
        <w:ind w:left="420"/>
      </w:pPr>
      <w:r>
        <w:t xml:space="preserve">6.3.2 Ein schädigendes Ereignis kann anhaltend, aber abgrenzbar den weiteren Verlauf der Gesundheitsstörung beeinflussen und damit zu einem gleichbleibenden Grad der Schädigungsfolgen führen.</w:t>
      </w:r>
    </w:p>
    <w:p>
      <w:pPr>
        <w:ind w:left="420"/>
      </w:pPr>
      <w:r>
        <w:t xml:space="preserve">6.3.3 Ein schädigendes Ereignis kann aber auch den weiteren Verlauf der Gesundheitsstörung richtunggebend bestimmen und damit Anlass für einen ansteigenden Grad der Schädigungsfolgen sein.</w:t>
      </w:r>
    </w:p>
    <w:p>
      <w:pPr>
        <w:ind w:left="420"/>
      </w:pPr>
      <w:r>
        <w:t xml:space="preserve">6.4 Nachfolgende GesundheitsstörungEine Gesundheitsstörung, die zeitlich nach der Schädigungsfolge eingetreten ist und nicht in ursächlichem Zusammenhang mit der Schädigung steht, wird bei der Bewertung des Grades der Schädigungsfolgen nicht berücksichtigt.</w:t>
      </w:r>
    </w:p>
    <w:p>
      <w:pPr>
        <w:ind w:left="420"/>
      </w:pPr>
      <w:r>
        <w:t xml:space="preserve">7 FolgeschadenTritt nach einer Schädigung eine weitere Gesundheitsstörung ein und kommt der Schädigung oder deren Folgen für die Entstehung dieser Gesundheitsstörung eine mindestens gleichwertige Bedeutung gegenüber der Gesamtheit der anderen Ursachen zu, handelt es sich um einen Folgeschaden. Dieser ist bei der Feststellung des Grades der Schädigungsfolgen zu berücksichtigen. In diesem Falle ist stets zu prüfen, ob die anerkannte Schädigungsfolge auch gemäß dem gegenwärtig aktuellen Stand der medizinischen Wissenschaft anerkannt würde.</w:t>
      </w:r>
    </w:p>
    <w:p>
      <w:pPr>
        <w:ind w:left="420"/>
      </w:pPr>
      <w:r>
        <w:t xml:space="preserve">8 Folgen von medizinischen MaßnahmenHaben diagnostische oder therapeutische Maßnahmen, die wegen Schädigungsfolgen durchgeführt werden, nachteilige gesundheitliche Folgen, so sind auch diese gesundheitlichen Folgen Schädigungsfolgen. Auch das Unterlassen einer medizinisch gebotenen Maßnahme kann zu einer gesundheitlichen Schädigung und damit zu einer Schädigungsfolge führen.</w:t>
      </w:r>
    </w:p>
    <w:p>
      <w:pPr>
        <w:ind w:left="420"/>
      </w:pPr>
      <w:r>
        <w:t xml:space="preserve">9 Absichtlich herbeigeführte GesundheitsstörungenEine von der antragstellenden Person absichtlich herbeigeführte Schädigung führt entschädigungsrechtlich nicht zu einer Schädigungsfolge. Eine Selbsttötung, die Folgen eines Selbsttötungsversuchs oder eine absichtlich herbeigeführte Gesundheitsstörung können nur dann Schädigungsfolge sein, wenn eine Beeinträchtigung der freien Willensbestimmung durch entschädigungsrechtlich geschützte Tatbestände wahrscheinlich ist.</w:t>
      </w:r>
    </w:p>
    <w:p>
      <w:pPr>
        <w:ind w:left="420"/>
      </w:pPr>
      <w:r>
        <w:t xml:space="preserve">10 Ursächlicher Zusammenhang zwischen Schädigung und Tod</w:t>
      </w:r>
    </w:p>
    <w:p>
      <w:pPr>
        <w:ind w:left="420"/>
      </w:pPr>
      <w:r>
        <w:t xml:space="preserve">10.1 Hat eine als Schädigungsfolge anerkannte Gesundheitsstörung den Tod verursacht und liegt zum Zeitpunkt des Todes eine Anerkennung der Gesundheitsstörung vor, gilt der Tod als Schädigungsfolge. Eine erneute Begutachtung der Wahrscheinlichkeit des ursächlichen Zusammenhanges ist nicht erforderlich, es sei denn, die bisherige Anerkennung ist aus heutiger Sicht zweifelsfrei unrichtig.</w:t>
      </w:r>
    </w:p>
    <w:p>
      <w:pPr>
        <w:ind w:left="420"/>
      </w:pPr>
      <w:r>
        <w:t xml:space="preserve">10.2 Stirbt eine geschädigte Person an einer im Sinne der Verschlimmerung anerkannten Gesundheitsstörung, so gilt der Tod als Schädigungsfolge, wenn die schädigungsbedingte Verschlimmerung für den Tod ursächlich gewesen ist.</w:t>
      </w:r>
    </w:p>
    <w:p>
      <w:pPr>
        <w:ind w:left="420"/>
      </w:pPr>
      <w:r>
        <w:t xml:space="preserve">10.3 Haben mehrere Gesundheitsstörungen zum Tod beigetragen und sind nicht alle diese Gesundheitsstörungen auch Schädigungsfolgen, ist zu prüfen, ob die Schädigungsfolgen eine mindestens gleichwertige Bedeutung für den Eintritt des Todes hatten. In diesem Fall gilt der Tod als Schädigungsfolge.</w:t>
      </w:r>
    </w:p>
    <w:p>
      <w:pPr>
        <w:ind w:left="420"/>
      </w:pPr>
      <w:r>
        <w:t xml:space="preserve">10.4 In Ausnahmefällen kann bei der Prüfung nach Nummer 10.2 auch der Zeitpunkt des Todes eine wichtige Rolle spielen, wenn neben den Schädigungsfolgen eine schwere, schädigungsunabhängige Gesundheitsstörung vorgelegen hat, die nach dem aktuellen Stand der medizinischen Wissenschaft ohne die Schädigungsfolgen noch nicht zu diesem Zeitpunkt, jedoch in absehbarer Zeit für sich allein zum Tode geführt hätte. In diesem Fall gilt der Tod als Schädigungsfolge, wenn die geschädigte Person ohne die Schädigungsfolgen wahrscheinlich mindestens ein Jahr länger gelebt hätte als mit den Schädigungsfolgen.</w:t>
      </w:r>
    </w:p>
    <w:p>
      <w:r>
        <w:t xml:space="preserve">Teil D: Merkzeichen</w:t>
      </w:r>
    </w:p>
    <w:p>
      <w:pPr>
        <w:ind w:left="420"/>
      </w:pPr>
      <w:r>
        <w:t xml:space="preserve">1. Erhebliche Beeinträchtigung der Bewegungsfähigkeit im Straßenverkehr (Merkzeichen G)</w:t>
      </w:r>
    </w:p>
    <w:p>
      <w:pPr>
        <w:ind w:left="780"/>
      </w:pPr>
      <w:r>
        <w:t xml:space="preserve">a) Nach dem Neunten Buch Sozialgesetzbuch (SGB IX) ist zu beurteilen, ob ein behinderter Mensch infolge seiner Behinderung in seiner Bewegungsfähigkeit im Straßenverkehr erheblich beeinträchtigt ist. Hilflose und Gehörlose haben stets einen Anspruch auf unentgeltliche Beförderung im öffentlichen Personenverkehr.</w:t>
      </w:r>
    </w:p>
    <w:p>
      <w:pPr>
        <w:ind w:left="780"/>
      </w:pPr>
      <w:r>
        <w:t xml:space="preserve">b) In seiner Bewegungsfähigkeit im Straßenverkehr erheblich beeinträchtigt ist, wer infolge einer Einschränkung des Gehvermögens, auch durch innere Leiden, oder infolge von Anfällen oder von Störungen der Orientierungsfähigkeit nicht ohne erhebliche Schwierigkeiten oder nicht ohne Gefahren für sich oder andere Wegstrecken im Ortsverkehr zurückzulegen vermag, die üblicherweise noch zu Fuß zurückgelegt werden. Bei der Prüfung der Frage, ob diese Voraussetzungen vorliegen, kommt es nicht auf die konkreten örtlichen Verhältnisse des Einzelfalles an, sondern darauf, welche Wegstrecken allgemein - d. h. altersunabhängig von nicht behinderten Menschen - noch zu Fuß zurückgelegt werden. Als ortsübliche Wegstrecke in diesem Sinne gilt eine Strecke von etwa zwei Kilometern, die in etwa einer halben Stunde zurückgelegt wird.</w:t>
      </w:r>
    </w:p>
    <w:p>
      <w:pPr>
        <w:ind w:left="780"/>
      </w:pPr>
      <w:r>
        <w:t xml:space="preserve">c) Auch bei Säuglingen und Kleinkindern ist die gutachtliche Beurteilung einer erheblichen Beeinträchtigung der Bewegungsfähigkeit im Straßenverkehr erforderlich. Für die Beurteilung sind dieselben Kriterien wie bei Erwachsenen mit gleichen Gesundheitsstörungen maßgebend. Es ist nicht zu prüfen, ob tatsächlich diesbezügliche behinderungsbedingte Nachteile vorliegen oder behinderungsbedingte Mehraufwendungen entstehen.</w:t>
      </w:r>
    </w:p>
    <w:p>
      <w:pPr>
        <w:ind w:left="780"/>
      </w:pPr>
      <w:r>
        <w:t xml:space="preserve">d) Die Voraussetzungen für die Annahme einer erheblichen Beeinträchtigung der Bewegungsfähigkeit im Straßenverkehr infolge einer behinderungsbedingten Einschränkung des Gehvermögens sind als erfüllt anzusehen, wenn auf die Gehfähigkeit sich auswirkende Funktionsstörungen der unteren Gliedmaßen und/oder der Lendenwirbelsäule bestehen, die für sich einen GdB von wenigstens 50 bedingen. Darüber hinaus können die Voraussetzungen bei Behinderungen an den unteren Gliedmaßen mit einem GdB unter 50 gegeben sein, wenn diese Behinderungen sich auf die Gehfähigkeit besonders auswirken, z. B. bei Versteifung des Hüftgelenks, Versteifung des Knie- oder Fußgelenks in ungünstiger Stellung, arteriellen Verschlusskrankheiten mit einem GdB von 40. Auch bei inneren Leiden kommt es bei der Beurteilung entscheidend auf die Einschränkung des Gehvermögens an. Dementsprechend ist eine erhebliche Beeinträchtigung der Bewegungsfähigkeit vor allem bei Herzschäden mit Beeinträchtigung der Herzleistung wenigstens nach Gruppe 3 und bei Atembehinderungen mit dauernder Einschränkung der Lungenfunktion wenigstens mittleren Grades anzunehmen. Auch bei anderen inneren Leiden mit einer schweren Beeinträchtigung der körperlichen Leistungsfähigkeit, z. B. chronische Niereninsuffizienz mit ausgeprägter Anämie, sind die Voraussetzungen als erfüllt anzusehen.</w:t>
      </w:r>
    </w:p>
    <w:p>
      <w:pPr>
        <w:ind w:left="780"/>
      </w:pPr>
      <w:r>
        <w:t xml:space="preserve">e) Bei hirnorganischen Anfällen ist die Beurteilung von der Art und Häufigkeit der Anfälle sowie von der Tageszeit des Auftretens abhängig. Im Allgemeinen ist auf eine erhebliche Beeinträchtigung der Bewegungsfähigkeit erst ab einer mittleren Anfallshäufigkeit mit einem GdS von wenigstens 70 zu schließen, wenn die Anfälle überwiegend am Tage auftreten. Analoges gilt beim Diabetes mellitus mit häufigen hypoglykämischen Schocks.</w:t>
      </w:r>
    </w:p>
    <w:p>
      <w:pPr>
        <w:ind w:left="780"/>
      </w:pPr>
      <w:r>
        <w:t xml:space="preserve">f) Störungen der Orientierungsfähigkeit, die zu einer erheblichen Beeinträchtigung der Bewegungsfähigkeit führen, sind bei allen Sehbehinderungen mit einem GdB von wenigstens 70 und bei Sehbehinderungen, die einen GdB von 50 oder 60 bedingen, nur in Kombination mit erheblichen Störungen der Ausgleichsfunktion (z. B. hochgradige Schwerhörigkeit beiderseits, geistige Behinderung) anzunehmen. Bei Hörbehinderungen ist die Annahme solcher Störungen nur bei Taubheit oder an Taubheit grenzender Schwerhörigkeit im Kindesalter (in der Regel bis zum 16. Lebensjahr) oder im Erwachsenenalter bei diesen Hörstörungen in Kombination mit erheblichen Störungen der Ausgleichsfunktion (z. B. Sehbehinderung, geistige Behinderung) gerechtfertigt. Bei geistig behinderten Menschen sind entsprechende Störungen der Orientierungsfähigkeit vorauszusetzen, wenn die behinderten Menschen sich im Straßenverkehr auf Wegen, die sie nicht täglich benutzen, nur schwer zurechtfinden können. Unter diesen Umständen ist eine erhebliche Beeinträchtigung der Bewegungsfähigkeit bei geistigen Behinderungen mit einem GdB von 100 immer und mit einem GdB von 80 oder 90 in den meisten Fällen zu bejahen. Bei einem GdB unter 80 kommt eine solche Beeinträchtigung der Bewegungsfähigkeit nur in besonders gelagerten Einzelfällen in Betracht.</w:t>
      </w:r>
    </w:p>
    <w:p>
      <w:pPr>
        <w:ind w:left="420"/>
      </w:pPr>
      <w:r>
        <w:t xml:space="preserve">2. Berechtigung für eine ständige Begleitung (Merkzeichen B)</w:t>
      </w:r>
    </w:p>
    <w:p>
      <w:pPr>
        <w:ind w:left="780"/>
      </w:pPr>
      <w:r>
        <w:t xml:space="preserve">a) Für die unentgeltliche Beförderung einer Begleitperson ist nach dem SGB IX die Berechtigung für eine ständige Begleitung zu beurteilen. Auch bei Säuglingen und Kleinkindern ist die gutachtliche Beurteilung der Berechtigung für eine ständige Begleitung erforderlich. Für die Beurteilung sind dieselben Kriterien wie bei Erwachsenen mit gleichen Gesundheitsstörungen maßgebend. Es ist nicht zu prüfen, ob tatsächlich diesbezügliche behinderungsbedingte Nachteile vorliegen oder behinderungsbedingte Mehraufwendungen entstehen.</w:t>
      </w:r>
    </w:p>
    <w:p>
      <w:pPr>
        <w:ind w:left="780"/>
      </w:pPr>
      <w:r>
        <w:t xml:space="preserve">b) Eine Berechtigung für eine ständige Begleitung ist bei schwerbehinderten Menschen (bei denen die Voraussetzungen für die Merkzeichen „G", „Gl" oder „H" vorliegen) gegeben, die bei der Benutzung von öffentlichen Verkehrsmitteln infolge ihrer Behinderung regelmäßig auf fremde Hilfe angewiesen sind. Dementsprechend ist zu beachten, ob sie bei der Benutzung öffentlicher Verkehrsmittel regelmäßig auf fremde Hilfe beim Ein- und Aussteigen oder während der Fahrt des Verkehrsmittels angewiesen sind oder ob Hilfen zum Ausgleich von Orientierungsstörungen (z. B. bei Sehbehinderung, geistiger Behinderung) erforderlich sind.</w:t>
      </w:r>
    </w:p>
    <w:p>
      <w:pPr>
        <w:ind w:left="780"/>
      </w:pPr>
      <w:r>
        <w:t xml:space="preserve">c) Die Berechtigung für eine ständige Begleitung ist anzunehmen bei</w:t>
      </w:r>
    </w:p>
    <w:p>
      <w:pPr>
        <w:ind w:left="1140"/>
      </w:pPr>
      <w:r>
        <w:t xml:space="preserve">Querschnittgelähmten,</w:t>
      </w:r>
    </w:p>
    <w:p>
      <w:pPr>
        <w:ind w:left="1140"/>
      </w:pPr>
      <w:r>
        <w:t xml:space="preserve">Ohnhändern,</w:t>
      </w:r>
    </w:p>
    <w:p>
      <w:pPr>
        <w:ind w:left="1140"/>
      </w:pPr>
      <w:r>
        <w:t xml:space="preserve">Blinden und Sehbehinderten, Hörbehinderten, geistig behinderten Menschen und Anfallskranken, bei denen die Annahme einer erheblichen Beeinträchtigung der Bewegungsfähigkeit im Straßenverkehr gerechtfertigt ist.</w:t>
      </w:r>
    </w:p>
    <w:p>
      <w:pPr>
        <w:ind w:left="420"/>
      </w:pPr>
      <w:r>
        <w:t xml:space="preserve">3. (aufgehoben)</w:t>
      </w:r>
    </w:p>
    <w:p>
      <w:pPr>
        <w:ind w:left="420"/>
      </w:pPr>
      <w:r>
        <w:t xml:space="preserve">4. Gehörlosigkeit (Merkzeichen Gl)Gehörlos sind nicht nur Hörbehinderte, bei denen Taubheit beiderseits vorliegt, sondern auch Hörbehinderte mit einer an Taubheit grenzenden Schwerhörigkeit beiderseits, wenn daneben schwere Sprachstörungen (schwer verständliche Lautsprache, geringer Sprachschatz) vorliegen. Das sind in der Regel Hörbehinderte, bei denen die an Taubheit grenzende Schwerhörigkeit angeboren oder in der Kindheit erworben worden ist.</w:t>
      </w:r>
    </w:p>
    <w:p>
      <w:r>
        <w:rPr>
          <w:color w:val="555555"/>
          <w:sz w:val="17"/>
        </w:rPr>
        <w:t xml:space="preserve">Zitiervorschlag: Anlage VersMedV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https://recht.nulegal.eu/gesetze/VersMedV/anlage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