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VersMedV — Anlage „Versorgungsmedizinische Grundsätze“</w:t>
      </w:r>
    </w:p>
    <w:p>
      <w:r>
        <w:rPr>
          <w:color w:val="555555"/>
          <w:sz w:val="18"/>
        </w:rPr>
        <w:t xml:space="preserve">Versorgungsmedizin-Verordnung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Die in § 1 genannten Grundsätze und Kriterien sind in der Anlage zu dieser Verordnung[*] als deren Bestandteil festgelegt.</w:t>
      </w:r>
    </w:p>
    <w:p>
      <w:r>
        <w:t xml:space="preserve">* Die Anlage „Versorgungsmedizinische Grundsätze“ wird als Anlageband zu dieser Ausgabe des Bundesgesetzblatts ausgegeben. Abonnenten des Bundesgesetzblatts Teil I wird der Anlageband auf Anforderung gemäß den Bezugsbedingungen des Verlags übersandt.</w:t>
      </w:r>
    </w:p>
    <w:p>
      <w:r>
        <w:rPr>
          <w:color w:val="555555"/>
          <w:sz w:val="17"/>
        </w:rPr>
        <w:t xml:space="preserve">Zitiervorschlag: § 2 VersMedV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https://recht.nulegal.eu/gesetze/VersMedV/2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