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VersImmoDarlSachkV — Inkrafttreten</w:t>
      </w:r>
    </w:p>
    <w:p>
      <w:r>
        <w:rPr>
          <w:color w:val="555555"/>
          <w:sz w:val="18"/>
        </w:rPr>
        <w:t xml:space="preserve">Verordnung über die Anforderungen an die Sachkunde der mit der Vergabe von Immobiliar-Verbraucherdarlehen befassten internen und externen Mitarbeiter von Versicherungsunternehmen und Pensionsfonds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VersImmoDarlSachkV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https://recht.nulegal.eu/gesetze/VersImmoDarlSachkV/5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