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VersG NRW (Nordrhein-Westfalen) — Berichtspflicht</w:t>
      </w:r>
    </w:p>
    <w:p>
      <w:r>
        <w:rPr>
          <w:color w:val="555555"/>
          <w:sz w:val="18"/>
        </w:rPr>
        <w:t xml:space="preserve">Versammlungsgesetz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Landesregierung überprüft die Auswirkungen dieses Gesetzes und berichtet dem Landtag bis zum 31. Dezember 2023 und danach alle fünf Jahre über die Erfahrungen mit diesem Gesetz.</w:t>
      </w:r>
    </w:p>
    <w:p>
      <w:r>
        <w:rPr>
          <w:color w:val="555555"/>
          <w:sz w:val="17"/>
        </w:rPr>
        <w:t xml:space="preserve">Zitiervorschlag: § 34 VersG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https://recht.nulegal.eu/gesetze/VersG%20NRW/34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