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VersG NRW (Nordrhein-Westfalen) — Entschädigung und Schadenersatz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allgemeinen Entschädigungsregelungen finden Anwendung. Weitergehende Ersatzansprüche, insbesondere aus Amtspflichtverletzung, bleiben unberührt.</w:t>
      </w:r>
    </w:p>
    <w:p>
      <w:r>
        <w:t xml:space="preserve">Teil 6</w:t>
      </w:r>
    </w:p>
    <w:p>
      <w:r>
        <w:t xml:space="preserve">Zuständigkeit, Einschränkung von Grundrechten, Inkrafttreten</w:t>
      </w:r>
    </w:p>
    <w:p>
      <w:r>
        <w:rPr>
          <w:color w:val="555555"/>
          <w:sz w:val="17"/>
        </w:rPr>
        <w:t xml:space="preserve">Zitiervorschlag: § 31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