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VersG NRW (Nordrhein-Westfalen) — Einziehung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Gegenstände, auf die sich eine Straftat nach § 27 oder eine Ordnungswidrigkeit nach § 28 bezieht, können eingezogen werden. § 74a des Strafgesetzbuches in der Fassung der Bekanntmachung vom 13. November 1998 (BGBl. I S. 3322), das zuletzt durch Artikel 2 des Gesetzes vom 22. November 2021 (BGBl. I S. 4906, 4910) geändert worden ist, und § 23 des Gesetzes über Ordnungswidrigkeiten in der Fassung der Bekanntmachung vom 19. Februar 1987 (BGBl. I S. 602), das zuletzt durch Artikel 31 des Gesetzes vom 5. Oktober 2021 (BGBl. I S. 4607) geändert worden ist, sind anzuwenden.</w:t>
      </w:r>
    </w:p>
    <w:p>
      <w:r>
        <w:t xml:space="preserve">Teil 5</w:t>
      </w:r>
    </w:p>
    <w:p>
      <w:r>
        <w:t xml:space="preserve">Kosten, Entschädigung, Schadenersatz</w:t>
      </w:r>
    </w:p>
    <w:p>
      <w:r>
        <w:rPr>
          <w:color w:val="555555"/>
          <w:sz w:val="17"/>
        </w:rPr>
        <w:t xml:space="preserve">Zitiervorschlag: § 29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