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VersG NRW (Nordrhein-Westfalen) — Gewalt- und Einschüchterungsverbot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Es ist verboten, eine öffentliche Versammlung unter freiem Himmel oder eine sonstige öffentliche Veranstaltung unter freiem Himmel zu veranstalten, zu leiten oder an ihr teilzunehmen, wenn diese infolge des äußeren Erscheinungsbildes</w:t>
      </w:r>
    </w:p>
    <w:p>
      <w:r>
        <w:t xml:space="preserve">1. durch das Tragen von Uniformen, Uniformteilen oder uniformähnlichen Kleidungsstücken oder</w:t>
      </w:r>
    </w:p>
    <w:p>
      <w:r>
        <w:t xml:space="preserve">2. durch ein paramilitärisches Auftreten</w:t>
      </w:r>
    </w:p>
    <w:p>
      <w:r>
        <w:t xml:space="preserve">Gewaltbereitschaft vermittelt und dadurch einschüchternd wirkt.</w:t>
      </w:r>
    </w:p>
    <w:p>
      <w:r>
        <w:t xml:space="preserve">(2) Die zuständige Behörde trifft zur Durchsetzung des Verbots Anordnungen, in denen die vom Verbot erfassten Gegenstände oder Verhaltensweisen bezeichnet sind.</w:t>
      </w:r>
    </w:p>
    <w:p>
      <w:r>
        <w:rPr>
          <w:color w:val="555555"/>
          <w:sz w:val="17"/>
        </w:rPr>
        <w:t xml:space="preserve">Zitiervorschlag: § 18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