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VersG NRW (Nordrhein-Westfalen) — Beschränkungen, Verbot, Auflösung</w:t>
      </w:r>
    </w:p>
    <w:p>
      <w:r>
        <w:rPr>
          <w:color w:val="555555"/>
          <w:sz w:val="18"/>
        </w:rPr>
        <w:t xml:space="preserve">Versammlungsgesetz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 Behörde kann eine Versammlung unter freiem Himmel beschränken, um eine unmittelbare Gefahr für die öffentliche Sicherheit abzuwehren. Als Beschränkungen kommen insbesondere Verfügungen zum Ort und zum Verlauf der Veranstaltung in Betracht. Auf Bundesautobahnen finden keine Versammlungen statt.</w:t>
      </w:r>
    </w:p>
    <w:p>
      <w:r>
        <w:t xml:space="preserve">(2) Die zuständige Behörde kann eine Versammlung verbieten oder auflösen, wenn ihre Durchführung die öffentliche Sicherheit unmittelbar gefährdet und die Gefahr nicht anders abgewehrt werden kann. Eine verbotene Versammlung ist aufzulösen. Nach der Auflösung haben sich die teilnehmenden Personen unverzüglich zu entfernen. Es ist verboten, anstelle der aufgelösten Versammlung eine Ersatzveranstaltung durchzuführen.</w:t>
      </w:r>
    </w:p>
    <w:p>
      <w:r>
        <w:t xml:space="preserve">(3) Geht eine unmittelbare Gefahr für die öffentliche Sicherheit von Dritten aus, sind Maßnahmen der Gefahrenabwehr gegen diese zu richten. Kann dadurch auch unter Heranziehung von landes- oder bundesweit verfügbaren Polizeikräften eine unmittelbare Gefahr nicht abgewehrt werden, dürfen Maßnahmen nach den Absätzen 1 oder 2 auch zulasten der Versammlung ergriffen werden, von der die Gefahr nicht ausgeht. Ein Verbot oder die Auflösung dieser Versammlung setzt Gefahren für Leben oder Gesundheit von Personen oder für Sachgüter von erheblichem Wert voraus.</w:t>
      </w:r>
    </w:p>
    <w:p>
      <w:r>
        <w:t xml:space="preserve">(4) Sollen eine beschränkende Verfügung oder ein Verbot ausgesprochen werden, so sind diese nach Feststellung der Voraussetzungen, die diese Verfügung rechtfertigen, unverzüglich bekannt zu geben. Die Bekanntgabe einer nach Versammlungsbeginn erfolgenden beschränkenden Verfügung oder einer Auflösung muss unter Angabe des Grundes der Maßnahme erfolgen.</w:t>
      </w:r>
    </w:p>
    <w:p>
      <w:r>
        <w:rPr>
          <w:color w:val="555555"/>
          <w:sz w:val="17"/>
        </w:rPr>
        <w:t xml:space="preserve">Zitiervorschlag: § 13 VersG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https://recht.nulegal.eu/gesetze/VersG%20NRW/13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