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VersFinKflAusbV — Prüfungsbereich des Teiles 1</w:t>
      </w:r>
    </w:p>
    <w:p>
      <w:r>
        <w:rPr>
          <w:color w:val="555555"/>
          <w:sz w:val="18"/>
        </w:rPr>
        <w:t xml:space="preserve">Versicherungs-und-Finanzanlagen-Kaufleute-Ausbildungsverordnung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Teil 1 der Abschlussprüfung findet im Prüfungsbereich „Allgemeine Versicherungswirtschaft“ statt.</w:t>
      </w:r>
    </w:p>
    <w:p>
      <w:r>
        <w:t xml:space="preserve">(2) Im Prüfungsbereich „Allgemeine Versicherungswirtschaft“ hat der Prüfling nachzuweisen, dass er in der Lage ist,</w:t>
      </w:r>
    </w:p>
    <w:p>
      <w:pPr>
        <w:ind w:left="420"/>
      </w:pPr>
      <w:r>
        <w:t xml:space="preserve">1. die Bedeutung der Versicherungswirtschaft einzuschätzen und zu beschreiben,</w:t>
      </w:r>
    </w:p>
    <w:p>
      <w:pPr>
        <w:ind w:left="420"/>
      </w:pPr>
      <w:r>
        <w:t xml:space="preserve">2. geeignete Kommunikationswege bei der Beratung und Betreuung von Kundinnen und Kunden zu nutzen,</w:t>
      </w:r>
    </w:p>
    <w:p>
      <w:pPr>
        <w:ind w:left="420"/>
      </w:pPr>
      <w:r>
        <w:t xml:space="preserve">3. Kundendaten zu erheben und als Grundlage für die Beratung und Betreuung zu nutzen,</w:t>
      </w:r>
    </w:p>
    <w:p>
      <w:pPr>
        <w:ind w:left="420"/>
      </w:pPr>
      <w:r>
        <w:t xml:space="preserve">4. die rechtlichen Rahmenbedingungen in Beratungsgesprächen sowie während der Vertragsanbahnung und der Vertragslaufzeit einzuhalten,</w:t>
      </w:r>
    </w:p>
    <w:p>
      <w:pPr>
        <w:ind w:left="420"/>
      </w:pPr>
      <w:r>
        <w:t xml:space="preserve">5. Beratungsanlässe bei Privatkunden zu identifizieren,</w:t>
      </w:r>
    </w:p>
    <w:p>
      <w:pPr>
        <w:ind w:left="420"/>
      </w:pPr>
      <w:r>
        <w:t xml:space="preserve">6. für die Beratung individuelle Bedarfe zu analysieren und zu erläutern,</w:t>
      </w:r>
    </w:p>
    <w:p>
      <w:pPr>
        <w:ind w:left="420"/>
      </w:pPr>
      <w:r>
        <w:t xml:space="preserve">7. individuelle, bedarfsgerechte Lösungen zu entwickeln,</w:t>
      </w:r>
    </w:p>
    <w:p>
      <w:pPr>
        <w:ind w:left="420"/>
      </w:pPr>
      <w:r>
        <w:t xml:space="preserve">8. Angebote zu erstellen und</w:t>
      </w:r>
    </w:p>
    <w:p>
      <w:pPr>
        <w:ind w:left="420"/>
      </w:pPr>
      <w:r>
        <w:t xml:space="preserve">9. ergänzende Serviceleistungen und weitere Schritte zur Vertragsschließung aufzuzeigen.</w:t>
      </w:r>
    </w:p>
    <w:p>
      <w:r>
        <w:t xml:space="preserve">(3) Für den Nachweis nach Absatz 2 Nummer 4 bis 6 sind folgende Gebiete zugrunde zu legen:</w:t>
      </w:r>
    </w:p>
    <w:p>
      <w:pPr>
        <w:ind w:left="420"/>
      </w:pPr>
      <w:r>
        <w:t xml:space="preserve">1. die Absicherung von Wohnen und Wohneigentum,</w:t>
      </w:r>
    </w:p>
    <w:p>
      <w:pPr>
        <w:ind w:left="420"/>
      </w:pPr>
      <w:r>
        <w:t xml:space="preserve">2. die Absicherung von Berufsausübung und Freizeitgestaltung und</w:t>
      </w:r>
    </w:p>
    <w:p>
      <w:pPr>
        <w:ind w:left="420"/>
      </w:pPr>
      <w:r>
        <w:t xml:space="preserve">3. die Absicherung von Mobilität und Reisen.</w:t>
      </w:r>
    </w:p>
    <w:p>
      <w:r>
        <w:t xml:space="preserve">(4) Für den Nachweis nach Absatz 2 Nummer 7 bis 9 ist als Gebiet die Absicherung von Wohnen und Wohneigentum zugrunde zu legen.</w:t>
      </w:r>
    </w:p>
    <w:p>
      <w:r>
        <w:t xml:space="preserve">(5) Die Aufgaben müssen praxisbezogen sein. Der Prüfling hat die Aufgaben schriftlich zu bearbeiten.</w:t>
      </w:r>
    </w:p>
    <w:p>
      <w:r>
        <w:t xml:space="preserve">(6) Die Prüfungszeit beträgt 120 Minuten.</w:t>
      </w:r>
    </w:p>
    <w:p>
      <w:r>
        <w:rPr>
          <w:color w:val="555555"/>
          <w:sz w:val="17"/>
        </w:rPr>
        <w:t xml:space="preserve">Zitiervorschlag: § 8 VersFinKflAusbV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https://recht.nulegal.eu/gesetze/VersFinKflAusbV/8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