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VersFinKflAusbV — Gegenstand der Berufsausbildung und Ausbildungsrahmenplan</w:t>
      </w:r>
    </w:p>
    <w:p>
      <w:r>
        <w:rPr>
          <w:color w:val="555555"/>
          <w:sz w:val="18"/>
        </w:rPr>
        <w:t xml:space="preserve">Versicherungs-und-Finanzanlagen-Kaufleute-Ausbildungsverordnung</w:t>
      </w:r>
    </w:p>
    <w:p>
      <w:r>
        <w:rPr>
          <w:color w:val="555555"/>
          <w:sz w:val="18"/>
        </w:rPr>
        <w:t xml:space="preserve">Stand: 01.08.2022 (konsolidierte Textfassung, kein amtliches Inkrafttretensdatum)</w:t>
      </w:r>
    </w:p>
    <w:p>
      <w:r>
        <w:t xml:space="preserve">(1) Gegenstand der Berufsausbildung sind mindestens die im Ausbildungsrahmenplan (Anlage) genannten Fertigkeiten, Kenntnisse und Fähigkeiten.</w:t>
      </w:r>
    </w:p>
    <w:p>
      <w:r>
        <w:t xml:space="preserve">(2) Von der Organisation der Berufsausbildung, wie sie im Ausbildungsrahmenplan vorgegeben ist, darf von den Ausbildenden abgewichen werden, wenn und soweit betriebspraktische Besonderheiten oder Gründe, die in der Person des oder der Auszubildenden liegen, die Abweichung erfordern.</w:t>
      </w:r>
    </w:p>
    <w:p>
      <w:r>
        <w:t xml:space="preserve">(3) Die im Ausbildungsrahmenplan genannten Fertigkeiten, Kenntnisse und Fähigkeiten sollen von den Ausbildenden so vermittelt werden, dass die Auszubildenden die berufliche Handlungsfähigkeit nach § 1 Absatz 3 des Berufsbildungsgesetzes erlangen. Die berufliche Handlungsfähigkeit schließt insbesondere selbständiges Planen, Durchführen und Kontrollieren bei der Ausübung der beruflichen Aufgaben ein.</w:t>
      </w:r>
    </w:p>
    <w:p>
      <w:r>
        <w:rPr>
          <w:color w:val="555555"/>
          <w:sz w:val="17"/>
        </w:rPr>
        <w:t xml:space="preserve">Zitiervorschlag: § 3 VersFinKflAusbV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https://recht.nulegal.eu/gesetze/VersFinKflAusbV/3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