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VersFinKflAusbV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1.    „Allgemeine Versicherungswirtschaft“    mit 20 Prozent,</w:t>
      </w:r>
    </w:p>
    <w:p>
      <w:r>
        <w:rPr>
          <w:rFonts w:ascii="Courier New" w:hAnsi="Courier New"/>
          <w:sz w:val="17"/>
        </w:rPr>
        <w:t xml:space="preserve">2.    „Kundenbedarfsanalyse, Lösungsentwicklung und Versicherungsfallbearbeitung“    mit 30 Prozent,</w:t>
      </w:r>
    </w:p>
    <w:p>
      <w:r>
        <w:rPr>
          <w:rFonts w:ascii="Courier New" w:hAnsi="Courier New"/>
          <w:sz w:val="17"/>
        </w:rPr>
        <w:t xml:space="preserve">3.    „Kommunikation und Handeln im Kundenkontakt“    mit 20 Prozent,</w:t>
      </w:r>
    </w:p>
    <w:p>
      <w:r>
        <w:rPr>
          <w:rFonts w:ascii="Courier New" w:hAnsi="Courier New"/>
          <w:sz w:val="17"/>
        </w:rPr>
        <w:t xml:space="preserve">4.    „Projektbezogene Prozesse in der Versicherungswirtschaft“    mit 20 Prozent sowie</w:t>
      </w:r>
    </w:p>
    <w:p>
      <w:r>
        <w:rPr>
          <w:rFonts w:ascii="Courier New" w:hAnsi="Courier New"/>
          <w:sz w:val="17"/>
        </w:rPr>
        <w:t xml:space="preserve">5.    „Wirtschafts- und Sozialkunde“    mit 10 Prozent.</w:t>
      </w:r>
    </w:p>
    <w:p>
      <w:r>
        <w:t xml:space="preserve">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„Kundenbedarfsanalyse, Lösungsentwicklung und Versicherungsfallbearbeitung“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15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