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VersFinKflAusbV — Prüfungsbereich „Kommunikation und Handeln im Kundenkontakt“</w:t>
      </w:r>
    </w:p>
    <w:p>
      <w:r>
        <w:rPr>
          <w:color w:val="555555"/>
          <w:sz w:val="18"/>
        </w:rPr>
        <w:t xml:space="preserve">Versicherungs-und-Finanzanlagen-Kaufleute-Ausbildungsverordnung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Im Prüfungsbereich „Kommunikation und Handeln im Kundenkontakt“ hat der Prüfling nachzuweisen, dass er in der Lage ist,</w:t>
      </w:r>
    </w:p>
    <w:p>
      <w:pPr>
        <w:ind w:left="420"/>
      </w:pPr>
      <w:r>
        <w:t xml:space="preserve">1. Kundengespräche systematisch und zielorientiert zu führen,</w:t>
      </w:r>
    </w:p>
    <w:p>
      <w:pPr>
        <w:ind w:left="420"/>
      </w:pPr>
      <w:r>
        <w:t xml:space="preserve">2. die Interessen von Kundinnen und Kunden ganzheitlich zu berücksichtigen,</w:t>
      </w:r>
    </w:p>
    <w:p>
      <w:pPr>
        <w:ind w:left="420"/>
      </w:pPr>
      <w:r>
        <w:t xml:space="preserve">3. auf Kundenfragen und -einwände einzugehen,</w:t>
      </w:r>
    </w:p>
    <w:p>
      <w:pPr>
        <w:ind w:left="420"/>
      </w:pPr>
      <w:r>
        <w:t xml:space="preserve">4. analoge oder digitale Medien gesprächsunterstützend einzusetzen und</w:t>
      </w:r>
    </w:p>
    <w:p>
      <w:pPr>
        <w:ind w:left="420"/>
      </w:pPr>
      <w:r>
        <w:t xml:space="preserve">5. über den Gesprächsanlass hinausgehende Kundenbedarfe zu erkennen und anzusprechen.</w:t>
      </w:r>
    </w:p>
    <w:p>
      <w:r>
        <w:t xml:space="preserve">(2) Für den Nachweis nach Absatz 1 ist eines der folgenden Gebiete zugrunde zu legen:</w:t>
      </w:r>
    </w:p>
    <w:p>
      <w:pPr>
        <w:ind w:left="420"/>
      </w:pPr>
      <w:r>
        <w:t xml:space="preserve">1. die Absicherung von Wohnen und Wohneigentum,</w:t>
      </w:r>
    </w:p>
    <w:p>
      <w:pPr>
        <w:ind w:left="420"/>
      </w:pPr>
      <w:r>
        <w:t xml:space="preserve">2. die Absicherung von Berufsausübung und Freizeitgestaltung,</w:t>
      </w:r>
    </w:p>
    <w:p>
      <w:pPr>
        <w:ind w:left="420"/>
      </w:pPr>
      <w:r>
        <w:t xml:space="preserve">3. die Absicherung von Mobilität und Reisen,</w:t>
      </w:r>
    </w:p>
    <w:p>
      <w:pPr>
        <w:ind w:left="420"/>
      </w:pPr>
      <w:r>
        <w:t xml:space="preserve">4. die Förderung der Gesundheit sowie die Absicherung von Krankheit und Pflege,</w:t>
      </w:r>
    </w:p>
    <w:p>
      <w:pPr>
        <w:ind w:left="420"/>
      </w:pPr>
      <w:r>
        <w:t xml:space="preserve">5. die Vorsorge für das Alter und die Vermögensbildung,</w:t>
      </w:r>
    </w:p>
    <w:p>
      <w:pPr>
        <w:ind w:left="420"/>
      </w:pPr>
      <w:r>
        <w:t xml:space="preserve">6. die Absicherung des Einkommens und die Hinterbliebenenversorgung oder</w:t>
      </w:r>
    </w:p>
    <w:p>
      <w:pPr>
        <w:ind w:left="420"/>
      </w:pPr>
      <w:r>
        <w:t xml:space="preserve">7. die Absicherung von Nicht-Privatkunden.</w:t>
      </w:r>
    </w:p>
    <w:p>
      <w:r>
        <w:t xml:space="preserve">(3) Mit dem Prüfling wird ein Kundengespräch als Gesprächssimulation geführt.</w:t>
      </w:r>
    </w:p>
    <w:p>
      <w:r>
        <w:t xml:space="preserve">(4) Für die Gesprächssimulation stellt der Prüfungsausschuss dem Prüfling zwei praxisbezogene Aufgaben aus dem nach Absatz 2 zugrunde gelegten Gebiet zur Auswahl. Der Prüfling hat eine der Aufgaben auszuwählen. Für die Auswahl der Aufgabe und die Vorbereitung auf die Gesprächssimulation stehen ihm insgesamt 15 Minuten zur Verfügung.</w:t>
      </w:r>
    </w:p>
    <w:p>
      <w:r>
        <w:t xml:space="preserve">(5) Die Gesprächssimulation dauert höchstens 15 Minuten.</w:t>
      </w:r>
    </w:p>
    <w:p>
      <w:r>
        <w:rPr>
          <w:color w:val="555555"/>
          <w:sz w:val="17"/>
        </w:rPr>
        <w:t xml:space="preserve">Zitiervorschlag: § 12 VersFinKflAusbV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https://recht.nulegal.eu/gesetze/VersFinKflAusbV/12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