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VersFinKflAusbV — Prüfungsbereich „Kundenbedarfsanalyse, Lösungsentwicklung und Versicherungsfallbearbeitung“</w:t>
      </w:r>
    </w:p>
    <w:p>
      <w:r>
        <w:rPr>
          <w:color w:val="555555"/>
          <w:sz w:val="18"/>
        </w:rPr>
        <w:t xml:space="preserve">Versicherungs-und-Finanzanlagen-Kaufleute-Ausbildungsverordnung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Im Prüfungsbereich „Kundenbedarfsanalyse, Lösungsentwicklung und Versicherungsfallbearbeitung“ hat der Prüfling nachzuweisen, dass er in der Lage ist,</w:t>
      </w:r>
    </w:p>
    <w:p>
      <w:pPr>
        <w:ind w:left="420"/>
      </w:pPr>
      <w:r>
        <w:t xml:space="preserve">1. für die Beratung individuelle Bedarfe zu analysieren und zu erläutern,</w:t>
      </w:r>
    </w:p>
    <w:p>
      <w:pPr>
        <w:ind w:left="420"/>
      </w:pPr>
      <w:r>
        <w:t xml:space="preserve">2. individuelle, bedarfsgerechte Lösungen zu entwickeln und dabei Anforderungen der Kundin oder des Kunden mit anderen Arbeits- und Geschäftsbereichen abzustimmen,</w:t>
      </w:r>
    </w:p>
    <w:p>
      <w:pPr>
        <w:ind w:left="420"/>
      </w:pPr>
      <w:r>
        <w:t xml:space="preserve">3. Chancen und Risiken von Finanzanlageformen zu beurteilen,</w:t>
      </w:r>
    </w:p>
    <w:p>
      <w:pPr>
        <w:ind w:left="420"/>
      </w:pPr>
      <w:r>
        <w:t xml:space="preserve">4. Angebote zu erstellen,</w:t>
      </w:r>
    </w:p>
    <w:p>
      <w:pPr>
        <w:ind w:left="420"/>
      </w:pPr>
      <w:r>
        <w:t xml:space="preserve">5. ergänzende Serviceleistungen und weitere Schritte zur Vertragsschließung aufzuzeigen,</w:t>
      </w:r>
    </w:p>
    <w:p>
      <w:pPr>
        <w:ind w:left="420"/>
      </w:pPr>
      <w:r>
        <w:t xml:space="preserve">6. Auswirkungen von Geschäftsfällen auf das Unternehmen, auf betriebliche Kennzahlen sowie auf die Kosten- und Leistungsrechnung darzustellen und</w:t>
      </w:r>
    </w:p>
    <w:p>
      <w:pPr>
        <w:ind w:left="420"/>
      </w:pPr>
      <w:r>
        <w:t xml:space="preserve">7. Versicherungsfälle zu regulieren.</w:t>
      </w:r>
    </w:p>
    <w:p>
      <w:r>
        <w:t xml:space="preserve">(2) Für den Nachweis nach Absatz 1 Nummer 1 bis 6 sind folgende Gebiete zugrunde zu legen:</w:t>
      </w:r>
    </w:p>
    <w:p>
      <w:pPr>
        <w:ind w:left="420"/>
      </w:pPr>
      <w:r>
        <w:t xml:space="preserve">1. die Absicherung von Berufsausübung und Freizeitgestaltung,</w:t>
      </w:r>
    </w:p>
    <w:p>
      <w:pPr>
        <w:ind w:left="420"/>
      </w:pPr>
      <w:r>
        <w:t xml:space="preserve">2. die Absicherung von Mobilität und Reisen,</w:t>
      </w:r>
    </w:p>
    <w:p>
      <w:pPr>
        <w:ind w:left="420"/>
      </w:pPr>
      <w:r>
        <w:t xml:space="preserve">3. die Förderung der Gesundheit sowie die Absicherung von Krankheit und Pflege,</w:t>
      </w:r>
    </w:p>
    <w:p>
      <w:pPr>
        <w:ind w:left="420"/>
      </w:pPr>
      <w:r>
        <w:t xml:space="preserve">4. die Vorsorge für das Alter und die Vermögensbildung und</w:t>
      </w:r>
    </w:p>
    <w:p>
      <w:pPr>
        <w:ind w:left="420"/>
      </w:pPr>
      <w:r>
        <w:t xml:space="preserve">5. die Absicherung des Einkommens und die Hinterbliebenenversorgung.</w:t>
      </w:r>
    </w:p>
    <w:p>
      <w:r>
        <w:t xml:space="preserve">(3) Für den Nachweis nach Absatz 1 Nummer 7 ist eines der folgenden Gebiete zugrunde zu legen:</w:t>
      </w:r>
    </w:p>
    <w:p>
      <w:pPr>
        <w:ind w:left="420"/>
      </w:pPr>
      <w:r>
        <w:t xml:space="preserve">1. die Absicherung von Wohnen und Wohneigentum,</w:t>
      </w:r>
    </w:p>
    <w:p>
      <w:pPr>
        <w:ind w:left="420"/>
      </w:pPr>
      <w:r>
        <w:t xml:space="preserve">2. die Absicherung von Berufsausübung und Freizeitgestaltung,</w:t>
      </w:r>
    </w:p>
    <w:p>
      <w:pPr>
        <w:ind w:left="420"/>
      </w:pPr>
      <w:r>
        <w:t xml:space="preserve">3. die Absicherung von Mobilität und Reisen,</w:t>
      </w:r>
    </w:p>
    <w:p>
      <w:pPr>
        <w:ind w:left="420"/>
      </w:pPr>
      <w:r>
        <w:t xml:space="preserve">4. die Förderung der Gesundheit sowie die Absicherung von Krankheit und Pflege,</w:t>
      </w:r>
    </w:p>
    <w:p>
      <w:pPr>
        <w:ind w:left="420"/>
      </w:pPr>
      <w:r>
        <w:t xml:space="preserve">5. die Vorsorge für das Alter und die Vermögensbildung oder</w:t>
      </w:r>
    </w:p>
    <w:p>
      <w:pPr>
        <w:ind w:left="420"/>
      </w:pPr>
      <w:r>
        <w:t xml:space="preserve">6. die Absicherung des Einkommens und die Hinterbliebenenversorgung.</w:t>
      </w:r>
    </w:p>
    <w:p>
      <w:r>
        <w:t xml:space="preserve">(4) Die Aufgaben müssen praxisbezogen sein. Der Prüfling hat die Aufgaben schriftlich zu bearbeiten.</w:t>
      </w:r>
    </w:p>
    <w:p>
      <w:r>
        <w:t xml:space="preserve">(5) Die Prüfungszeit beträgt 150 Minuten.</w:t>
      </w:r>
    </w:p>
    <w:p>
      <w:r>
        <w:rPr>
          <w:color w:val="555555"/>
          <w:sz w:val="17"/>
        </w:rPr>
        <w:t xml:space="preserve">Zitiervorschlag: § 11 VersFinKflAusbV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https://recht.nulegal.eu/gesetze/VersFinKflAusbV/11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