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VersFinKflAusbV — Prüfungsbereiche des Teiles 2</w:t>
      </w:r>
    </w:p>
    <w:p>
      <w:r>
        <w:rPr>
          <w:color w:val="555555"/>
          <w:sz w:val="18"/>
        </w:rPr>
        <w:t xml:space="preserve">Versicherungs-und-Finanzanlagen-Kaufleute-Ausbildungsverordnung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„Kundenbedarfsanalyse, Lösungsentwicklung und Versicherungsfallbearbeitung“,</w:t>
      </w:r>
    </w:p>
    <w:p>
      <w:pPr>
        <w:ind w:left="420"/>
      </w:pPr>
      <w:r>
        <w:t xml:space="preserve">2. „Kommunikation und Handeln im Kundenkontakt“,</w:t>
      </w:r>
    </w:p>
    <w:p>
      <w:pPr>
        <w:ind w:left="420"/>
      </w:pPr>
      <w:r>
        <w:t xml:space="preserve">3. „Projektbezogene Prozesse in der Versicherungswirtschaft“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10 VersFinKflAusbV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https://recht.nulegal.eu/gesetze/VersFinKflAusbV/10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