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VersFinKfAusbV — Zielsetzung und Struktur der Berufsausbildung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Diese Befähigung ist auch in den Prüfungen nach den §§ 8 bis 10 nachzuweisen.</w:t>
      </w:r>
    </w:p>
    <w:p>
      <w:r>
        <w:t xml:space="preserve">(2) Die Ausbildung gliedert sich in</w:t>
      </w:r>
    </w:p>
    <w:p>
      <w:pPr>
        <w:ind w:left="420"/>
      </w:pPr>
      <w:r>
        <w:t xml:space="preserve">1. gemeinsame Qualifikationseinheiten gemäß § 4 Abs. 1 und</w:t>
      </w:r>
    </w:p>
    <w:p>
      <w:pPr>
        <w:ind w:left="420"/>
      </w:pPr>
      <w:r>
        <w:t xml:space="preserve">2. fachrichtungsbezogene Qualifikationseinheiten gemäß § 4 Abs. 2 oder</w:t>
      </w:r>
    </w:p>
    <w:p>
      <w:pPr>
        <w:ind w:left="420"/>
      </w:pPr>
      <w:r>
        <w:t xml:space="preserve">3. fachrichtungsbezogene Qualifikationseinheiten gemäß § 4 Abs. 3.</w:t>
      </w:r>
    </w:p>
    <w:p>
      <w:r>
        <w:rPr>
          <w:color w:val="555555"/>
          <w:sz w:val="17"/>
        </w:rPr>
        <w:t xml:space="preserve">Zitiervorschlag: § 3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