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VersAusglKassG — Bilanzierung von Rückdeckungsversicherungen</w:t>
      </w:r>
    </w:p>
    <w:p>
      <w:r>
        <w:rPr>
          <w:color w:val="555555"/>
          <w:sz w:val="18"/>
        </w:rPr>
        <w:t xml:space="preserve">Gesetz über die Versorgungsausgleichskasse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Verträge, die von der Versorgungsausgleichskasse nach § 3 Absatz 3 bei Lebensversicherungsunternehmen eingegangen werden, sind abweichend von § 341b Absatz 1 bis 3 des Handelsgesetzbuchs mit dem Zeitwert unter Berücksichtigung des Grundsatzes der Vorsicht zu bewerten.</w:t>
      </w:r>
    </w:p>
    <w:p>
      <w:r>
        <w:rPr>
          <w:color w:val="555555"/>
          <w:sz w:val="17"/>
        </w:rPr>
        <w:t xml:space="preserve">Zitiervorschlag: § 6 VersAusglKassG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https://recht.nulegal.eu/gesetze/VersAusglKassG/6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