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VersAusglKassG — Beschränkung des Anrechts</w:t>
      </w:r>
    </w:p>
    <w:p>
      <w:r>
        <w:rPr>
          <w:color w:val="555555"/>
          <w:sz w:val="18"/>
        </w:rPr>
        <w:t xml:space="preserve">Gesetz über die Versorgungsausgleichskasse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Ein bei der Versorgungsausgleichskasse bestehendes Anrecht ist nicht übertragbar, nicht beleihbar und nicht veräußerbar. Es darf vorbehaltlich des Satzes 3 nicht vorzeitig verwertet werden. Die Versorgungsausgleichskasse kann ein Anrecht ohne Zustimmung der ausgleichsberechtigten Person bis zu der Wertgrenze in § 3 Absatz 2 Satz 1 des Betriebsrentengesetzes abfinden.</w:t>
      </w:r>
    </w:p>
    <w:p>
      <w:r>
        <w:t xml:space="preserve">(2) Eine Fortsetzung der Versorgung mit eigenen Beiträgen ist nicht möglich.</w:t>
      </w:r>
    </w:p>
    <w:p>
      <w:r>
        <w:rPr>
          <w:color w:val="555555"/>
          <w:sz w:val="17"/>
        </w:rPr>
        <w:t xml:space="preserve">Zitiervorschlag: § 5 VersAusglKassG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https://recht.nulegal.eu/gesetze/VersAusglKassG/5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