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VersAusglKassG — Leistungsumfang</w:t>
      </w:r>
    </w:p>
    <w:p>
      <w:r>
        <w:rPr>
          <w:color w:val="555555"/>
          <w:sz w:val="18"/>
        </w:rPr>
        <w:t xml:space="preserve">Gesetz über die Versorgungsausgleichskasse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der Versorgungsausgleichskasse durchgeführte Versicherung muss die Voraussetzungen nach § 1 Absatz 1 Satz 1 Nummer 2 und 4 Buchstabe a des Altersvorsorgeverträge-Zertifizierungsgesetzes erfüllen.</w:t>
      </w:r>
    </w:p>
    <w:p>
      <w:r>
        <w:t xml:space="preserve">(2) Die Versorgungsausgleichskasse muss einen Zins in einer Höhe garantieren, die dem Höchstwert für den Rechnungszins nach der gemäß § 235 Absatz 1 Satz 1 Nummer 4 des Versicherungsaufsichtsgesetzes erlassenen Rechtsverordnung zum Zeitpunkt der Begründung des Anrechts bei der Versorgungsausgleichskasse entspricht.</w:t>
      </w:r>
    </w:p>
    <w:p>
      <w:r>
        <w:t xml:space="preserve">(3) Ab Rentenbeginn müssen sämtliche auf den Rentenbestand entfallenden Überschussanteile zur Erhöhung der laufenden Leistungen verwendet werden.</w:t>
      </w:r>
    </w:p>
    <w:p>
      <w:r>
        <w:t xml:space="preserve">(4) Die Versorgungsausgleichskasse kann angemessene Verwaltungskosten in Abzug bringen. Abschluss- und Vertriebskosten dürfen nicht erhoben werden.</w:t>
      </w:r>
    </w:p>
    <w:p>
      <w:r>
        <w:rPr>
          <w:color w:val="555555"/>
          <w:sz w:val="17"/>
        </w:rPr>
        <w:t xml:space="preserve">Zitiervorschlag: § 4 VersAusglKassG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https://recht.nulegal.eu/gesetze/VersAusglKassG/4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