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VersAusglKassG — Rechtsform, anzuwendendes Recht</w:t>
      </w:r>
    </w:p>
    <w:p>
      <w:r>
        <w:rPr>
          <w:color w:val="555555"/>
          <w:sz w:val="18"/>
        </w:rPr>
        <w:t xml:space="preserve">Gesetz über die Versorgungsausgleichskasse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Versorgungsausgleichskasse ist eine Pensionskasse im Sinne des § 232 des Versicherungsaufsichtsgesetzes in der Rechtsform eines Versicherungsvereins auf Gegenseitigkeit.</w:t>
      </w:r>
    </w:p>
    <w:p>
      <w:r>
        <w:t xml:space="preserve">(2) Auf sie ist das Versicherungsaufsichtsgesetz anzuwenden, sofern dieses Gesetz nichts anderes bestimmt.</w:t>
      </w:r>
    </w:p>
    <w:p>
      <w:r>
        <w:rPr>
          <w:color w:val="555555"/>
          <w:sz w:val="17"/>
        </w:rPr>
        <w:t xml:space="preserve">Zitiervorschlag: § 2 VersAusglKassG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https://recht.nulegal.eu/gesetze/VersAusglKassG/2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