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VersAusglG — Rangfolge der Ausgleichsformen, Ausnahmen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Wertausgleich bei der Scheidung unterfallen alle Anrechte, es sei denn, die Ehegatten haben den Ausgleich nach den §§ 6 bis 8 geregelt oder die Ausgleichsreife der Anrechte nach § 19 fehlt.</w:t>
      </w:r>
    </w:p>
    <w:p>
      <w:r>
        <w:t xml:space="preserve">(2) Anrechte sind in der Regel nach den §§ 10 bis 13 intern zu teilen.</w:t>
      </w:r>
    </w:p>
    <w:p>
      <w:r>
        <w:t xml:space="preserve">(3) Ein Anrecht ist nur dann nach den §§ 14 bis 17 extern zu teilen, wenn ein Fall des § 14 Abs. 2 oder des § 16 Abs. 1 oder Abs. 2 vorliegt.</w:t>
      </w:r>
    </w:p>
    <w:p>
      <w:r>
        <w:t xml:space="preserve">(4) Ist die Differenz beiderseitiger Ausgleichswerte von Anrechten gleicher Art gering oder haben einzelne Anrechte einen geringen Ausgleichswert, ist § 18 anzuwenden.</w:t>
      </w:r>
    </w:p>
    <w:p>
      <w:r>
        <w:rPr>
          <w:color w:val="555555"/>
          <w:sz w:val="17"/>
        </w:rPr>
        <w:t xml:space="preserve">Zitiervorschlag: § 9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