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VersAusglG — Besondere materielle Wirksamkeitsvoraussetzungen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Vereinbarung über den Versorgungsausgleich muss einer Inhalts- und Ausübungskontrolle standhalten.</w:t>
      </w:r>
    </w:p>
    <w:p>
      <w:r>
        <w:t xml:space="preserve">(2) Durch die Vereinbarung können Anrechte nur übertragen oder begründet werden, wenn die maßgeblichen Regelungen dies zulassen und die betroffenen Versorgungsträger zustimmen.</w:t>
      </w:r>
    </w:p>
    <w:p>
      <w:r>
        <w:rPr>
          <w:color w:val="555555"/>
          <w:sz w:val="17"/>
        </w:rPr>
        <w:t xml:space="preserve">Zitiervorschlag: § 8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