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VersAusglG — Besondere formelle Wirksamkeitsvoraussetzungen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Vereinbarung über den Versorgungsausgleich, die vor Rechtskraft der Entscheidung über den Wertausgleich bei der Scheidung geschlossen wird, bedarf der notariellen Beurkundung.</w:t>
      </w:r>
    </w:p>
    <w:p>
      <w:r>
        <w:t xml:space="preserve">(2) § 127a des Bürgerlichen Gesetzbuchs gilt entsprechend.</w:t>
      </w:r>
    </w:p>
    <w:p>
      <w:r>
        <w:t xml:space="preserve">(3) Für eine Vereinbarung über den Versorgungsausgleich im Rahmen eines Ehevertrags gilt die in § 1410 des Bürgerlichen Gesetzbuchs bestimmte Form.</w:t>
      </w:r>
    </w:p>
    <w:p>
      <w:r>
        <w:rPr>
          <w:color w:val="555555"/>
          <w:sz w:val="17"/>
        </w:rPr>
        <w:t xml:space="preserve">Zitiervorschlag: § 7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