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52 VersAusglG — Durchführung einer Abänderung des öffentlich-rechtlichen Versorgungsausgleichs</w:t>
      </w:r>
    </w:p>
    <w:p>
      <w:r>
        <w:rPr>
          <w:color w:val="555555"/>
          <w:sz w:val="18"/>
        </w:rPr>
        <w:t xml:space="preserve">Versorgungsausgleichsgesetz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Durchführung des Abänderungsverfahrens nach § 51 ist § 226 des Gesetzes über das Verfahren in Familiensachen und in den Angelegenheiten der freiwilligen Gerichtsbarkeit anzuwenden.</w:t>
      </w:r>
    </w:p>
    <w:p>
      <w:r>
        <w:t xml:space="preserve">(2) Der Versorgungsträger berechnet in den Fällen des § 51 Abs. 2 den Ehezeitanteil zusätzlich als Rentenbetrag.</w:t>
      </w:r>
    </w:p>
    <w:p>
      <w:r>
        <w:t xml:space="preserve">(3) Beiträge zur Begründung von Anrechten zugunsten der ausgleichsberechtigten Person sind unter Anrechnung der gewährten Leistungen zurückzuzahlen.</w:t>
      </w:r>
    </w:p>
    <w:p>
      <w:r>
        <w:rPr>
          <w:color w:val="555555"/>
          <w:sz w:val="17"/>
        </w:rPr>
        <w:t xml:space="preserve">Zitiervorschlag: § 52 VersAusglG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https://recht.nulegal.eu/gesetze/VersAusglG/52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