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VersAusglG — Allgemeine Übergangsvorschrift</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In Verfahren über den Versorgungsausgleich, die vor dem 1. September 2009 eingeleitet worden sind, ist das bis dahin geltende materielle Recht und Verfahrensrecht weiterhin anzuwenden.</w:t>
      </w:r>
    </w:p>
    <w:p>
      <w:r>
        <w:t xml:space="preserve">(2) Abweichend von Absatz 1 ist das ab dem 1. September 2009 geltende materielle Recht und Verfahrensrecht anzuwenden in Verfahren, die</w:t>
      </w:r>
    </w:p>
    <w:p>
      <w:pPr>
        <w:ind w:left="420"/>
      </w:pPr>
      <w:r>
        <w:t xml:space="preserve">1. am 1. September 2009 abgetrennt oder ausgesetzt sind oder deren Ruhen angeordnet ist oder</w:t>
      </w:r>
    </w:p>
    <w:p>
      <w:pPr>
        <w:ind w:left="420"/>
      </w:pPr>
      <w:r>
        <w:t xml:space="preserve">2. nach dem 1. September 2009 abgetrennt oder ausgesetzt werden oder deren Ruhen angeordnet wird.</w:t>
      </w:r>
    </w:p>
    <w:p>
      <w:r>
        <w:t xml:space="preserve">(3) Abweichend von Absatz 1 ist in Verfahren, in denen am 31. August 2010 im ersten Rechtszug noch keine Endentscheidung erlassen wurde, ab dem 1. September 2010 das ab dem 1. September 2009 geltende materielle Recht und Verfahrensrecht anzuwenden.</w:t>
      </w:r>
    </w:p>
    <w:p>
      <w:r>
        <w:rPr>
          <w:color w:val="555555"/>
          <w:sz w:val="17"/>
        </w:rPr>
        <w:t xml:space="preserve">Zitiervorschlag: § 48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