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VersAusglG — Berechnung des korrespondierenden Kapitalwerts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korrespondierende Kapitalwert ist eine Hilfsgröße für ein Anrecht, dessen Ausgleichswert nach § 5 Abs. 3 nicht bereits als Kapitalwert bestimmt ist.</w:t>
      </w:r>
    </w:p>
    <w:p>
      <w:r>
        <w:t xml:space="preserve">(2) Der korrespondierende Kapitalwert entspricht dem Betrag, der zum Ende der Ehezeit aufzubringen wäre, um beim Versorgungsträger der ausgleichspflichtigen Person für sie ein Anrecht in Höhe des Ausgleichswerts zu begründen.</w:t>
      </w:r>
    </w:p>
    <w:p>
      <w:r>
        <w:t xml:space="preserve">(3) Für Anrechte im Sinne des § 44 Abs. 1 sind bei der Ermittlung des korrespondierenden Kapitalwerts die Berechnungsgrundlagen der gesetzlichen Rentenversicherung entsprechend anzuwenden.</w:t>
      </w:r>
    </w:p>
    <w:p>
      <w:r>
        <w:t xml:space="preserve">(4) Für ein Anrecht im Sinne des Betriebsrentengesetzes gilt der Übertragungswert nach § 4 Abs. 5 des Betriebsrentengesetzes als korrespondierender Kapitalwert. Für ein Anrecht, das bei einem Träger einer Zusatzversorgung des öffentlichen oder kirchlichen Dienstes besteht, ist als korrespondierender Kapitalwert der Barwert im Sinne des Absatzes 5 zu ermitteln.</w:t>
      </w:r>
    </w:p>
    <w:p>
      <w:r>
        <w:t xml:space="preserve">(5) Kann ein korrespondierender Kapitalwert nach den Absätzen 2 bis 4 nicht ermittelt werden, so ist ein nach versicherungsmathematischen Grundsätzen ermittelter Barwert maßgeblich.</w:t>
      </w:r>
    </w:p>
    <w:p>
      <w:r>
        <w:t xml:space="preserve">(6) Bei einem Wertvergleich in den Fällen der §§ 6 bis 8, 18 Abs. 1 und § 27 sind nicht nur die Kapitalwerte und korrespondierenden Kapitalwerte, sondern auch die weiteren Faktoren der Anrechte zu berücksichtigen, die sich auf die Versorgung auswirken.</w:t>
      </w:r>
    </w:p>
    <w:p>
      <w:r>
        <w:rPr>
          <w:color w:val="555555"/>
          <w:sz w:val="17"/>
        </w:rPr>
        <w:t xml:space="preserve">Zitiervorschlag: § 47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