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VersAusglG — Sondervorschriften für Anrechte nach dem Betriebsrentengesetz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Anrecht im Sinne des Betriebsrentengesetzes ist der Wert des Anrechts als Rentenbetrag nach § 2 des Betriebsrentengesetzes oder der Kapitalwert nach § 4 Abs. 5 des Betriebsrentengesetzes maßgeblich. Hierbei ist anzunehmen, dass die Betriebszugehörigkeit der ausgleichspflichtigen Person spätestens zum Ehezeitende beendet ist.</w:t>
      </w:r>
    </w:p>
    <w:p>
      <w:r>
        <w:t xml:space="preserve">(2) Der Wert des Ehezeitanteils ist nach den Grundsätzen der unmittelbaren Bewertung zu ermitteln. Ist dies nicht möglich, so ist eine zeitratierliche Bewertung durchzuführen. Hierzu ist der nach Absatz 1 ermittelte Wert des Anrechts mit dem Quotienten zu multiplizieren, der aus der ehezeitlichen Betriebszugehörigkeit und der gesamten Betriebszugehörigkeit bis zum Ehezeitende zu bilden ist.</w:t>
      </w:r>
    </w:p>
    <w:p>
      <w:r>
        <w:t xml:space="preserve">(3) Die Absätze 1 und 2 gelten nicht für ein Anrecht, das bei einem Träger einer Zusatzversorgung des öffentlichen oder kirchlichen Dienstes besteht.</w:t>
      </w:r>
    </w:p>
    <w:p>
      <w:r>
        <w:rPr>
          <w:color w:val="555555"/>
          <w:sz w:val="17"/>
        </w:rPr>
        <w:t xml:space="preserve">Zitiervorschlag: § 45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