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44 VersAusglG — Sondervorschriften für Anrechte aus einem öffentlich-rechtlichen Dienstverhältnis</w:t>
      </w:r>
    </w:p>
    <w:p>
      <w:r>
        <w:rPr>
          <w:color w:val="555555"/>
          <w:sz w:val="18"/>
        </w:rPr>
        <w:t xml:space="preserve">Versorgungsausgleichsgesetz</w:t>
      </w:r>
    </w:p>
    <w:p>
      <w:r>
        <w:rPr>
          <w:color w:val="555555"/>
          <w:sz w:val="18"/>
        </w:rPr>
        <w:t xml:space="preserve">Stand: 10.06.2019 (konsolidierte Textfassung, kein amtliches Inkrafttretensdatum)</w:t>
      </w:r>
    </w:p>
    <w:p>
      <w:r>
        <w:t xml:space="preserve">(1) Für Anrechte</w:t>
      </w:r>
    </w:p>
    <w:p>
      <w:pPr>
        <w:ind w:left="420"/>
      </w:pPr>
      <w:r>
        <w:t xml:space="preserve">1. aus einem Beamtenverhältnis oder einem anderen öffentlich-rechtlichen Dienstverhältnis und</w:t>
      </w:r>
    </w:p>
    <w:p>
      <w:pPr>
        <w:ind w:left="420"/>
      </w:pPr>
      <w:r>
        <w:t xml:space="preserve">2. aus einem Arbeitsverhältnis, bei dem ein Anspruch auf eine Versorgung nach beamtenrechtlichen Vorschriften oder Grundsätzen besteht,</w:t>
      </w:r>
    </w:p>
    <w:p>
      <w:r>
        <w:t xml:space="preserve">sind die Grundsätze der zeitratierlichen Bewertung anzuwenden.</w:t>
      </w:r>
    </w:p>
    <w:p>
      <w:r>
        <w:t xml:space="preserve">(2) Stehen der ausgleichspflichtigen Person mehrere Anrechte im Sinne des Absatzes 1 zu, so ist für die Wertberechnung von den gesamten Versorgungsbezügen, die sich nach Anwendung der Ruhensvorschriften ergeben, und von der gesamten in die Ehezeit fallenden ruhegehaltfähigen Dienstzeit auszugehen.</w:t>
      </w:r>
    </w:p>
    <w:p>
      <w:r>
        <w:t xml:space="preserve">(3) Stehen der ausgleichspflichtigen Person neben einem Anrecht im Sinne des Absatzes 1 weitere Anrechte aus anderen Versorgungssystemen zu, die Ruhens- oder Anrechnungsvorschriften unterliegen, so gilt Absatz 2 sinngemäß. Dabei sind die Ruhens- oder Anrechnungsbeträge nur insoweit zu berücksichtigen, als das nach Satz 1 berücksichtigte Anrecht in der Ehezeit erworben wurde und die ausgleichsberechtigte Person an diesem Anrecht im Versorgungsausgleich teilhat.</w:t>
      </w:r>
    </w:p>
    <w:p>
      <w:r>
        <w:t xml:space="preserve">(4) Bei einem Anrecht aus einem Beamtenverhältnis auf Widerruf oder aus einem Dienstverhältnis einer Soldatin oder eines Soldaten auf Zeit ist der Wert maßgeblich, der sich bei einer Nachversicherung in der gesetzlichen Rentenversicherung ergäbe.</w:t>
      </w:r>
    </w:p>
    <w:p>
      <w:r>
        <w:rPr>
          <w:color w:val="555555"/>
          <w:sz w:val="17"/>
        </w:rPr>
        <w:t xml:space="preserve">Zitiervorschlag: § 44 VersAusglG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https://recht.nulegal.eu/gesetze/VersAusglG/44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