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VersAusglG — Sondervorschriften für Anrechte aus der gesetzlichen Rentenversicherung</w:t>
      </w:r>
    </w:p>
    <w:p>
      <w:r>
        <w:rPr>
          <w:color w:val="555555"/>
          <w:sz w:val="18"/>
        </w:rPr>
        <w:t xml:space="preserve">Versorgungsausgleichsgesetz</w:t>
      </w:r>
    </w:p>
    <w:p>
      <w:r>
        <w:rPr>
          <w:color w:val="555555"/>
          <w:sz w:val="18"/>
        </w:rPr>
        <w:t xml:space="preserve">Stand: 01.07.2024 (konsolidierte Textfassung, kein amtliches Inkrafttretensdatum)</w:t>
      </w:r>
    </w:p>
    <w:p>
      <w:r>
        <w:t xml:space="preserve">(1) Für Anrechte aus der gesetzlichen Rentenversicherung gelten die Grundsätze der unmittelbaren Bewertung.</w:t>
      </w:r>
    </w:p>
    <w:p>
      <w:r>
        <w:t xml:space="preserve">(2) Soweit das Anrecht auf eine abzuschmelzende Leistung nach § 19 Abs. 2 Nr. 2 gerichtet ist, ist der Ehezeitanteil für Ausgleichsansprüche nach der Scheidung nach dem Verhältnis der auf die Ehezeit entfallenden Entgeltpunkte zu den gesamten Entgeltpunkten zu bestimmen.</w:t>
      </w:r>
    </w:p>
    <w:p>
      <w:r>
        <w:t xml:space="preserve">(3) Besondere Wartezeiten sind nur dann werterhöhend zu berücksichtigen, wenn die hierfür erforderlichen Zeiten bereits erfüllt sind.</w:t>
      </w:r>
    </w:p>
    <w:p>
      <w:r>
        <w:rPr>
          <w:color w:val="555555"/>
          <w:sz w:val="17"/>
        </w:rPr>
        <w:t xml:space="preserve">Zitiervorschlag: § 43 VersAusglG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https://recht.nulegal.eu/gesetze/VersAusglG/43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