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VersAusglG — Bewertung einer laufenden Versorgung</w:t>
      </w:r>
    </w:p>
    <w:p>
      <w:r>
        <w:rPr>
          <w:color w:val="555555"/>
          <w:sz w:val="18"/>
        </w:rPr>
        <w:t xml:space="preserve">Versorgungsausgleichsgesetz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Befindet sich ein Anrecht in der Leistungsphase und wäre für die Anwartschaftsphase die unmittelbare Bewertung maßgeblich, so gilt § 39 Abs. 1 entsprechend.</w:t>
      </w:r>
    </w:p>
    <w:p>
      <w:r>
        <w:t xml:space="preserve">(2) Befindet sich ein Anrecht in der Leistungsphase und wäre für die Anwartschaftsphase die zeitratierliche Bewertung maßgeblich, so gilt § 40 Abs. 1 bis 3 entsprechend. Hierbei sind die Annahmen für die höchstens erreichbare Zeitdauer und für die zu erwartende Versorgung durch die tatsächlichen Werte zu ersetzen.</w:t>
      </w:r>
    </w:p>
    <w:p>
      <w:r>
        <w:rPr>
          <w:color w:val="555555"/>
          <w:sz w:val="17"/>
        </w:rPr>
        <w:t xml:space="preserve">Zitiervorschlag: § 41 VersAusglG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https://recht.nulegal.eu/gesetze/VersAusglG/41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