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VersAusglG — Zeitratierliche Bewertung einer Anwartschaft</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Befindet sich ein Anrecht in der Anwartschaftsphase und richtet sich der Wert des Anrechts nicht nach den Grundsätzen der unmittelbaren Bewertung gemäß § 39, so ist der Wert des Ehezeitanteils auf der Grundlage eines Zeit-Zeit-Verhältnisses zu berechnen (zeitratierliche Bewertung).</w:t>
      </w:r>
    </w:p>
    <w:p>
      <w:r>
        <w:t xml:space="preserve">(2) Zu ermitteln ist die Zeitdauer, die bis zu der für das Anrecht maßgeblichen Altersgrenze höchstens erreicht werden kann (n). Zudem ist der Teil dieser Zeitdauer zu ermitteln, der mit der Ehezeit übereinstimmt (m). Der Wert des Ehezeitanteils ergibt sich, wenn das Verhältnis der in die Ehezeit fallenden Zeitdauer und der höchstens erreichbaren Zeitdauer (m/n) mit der zu erwartenden Versorgung (R) multipliziert wird (m/n x R).</w:t>
      </w:r>
    </w:p>
    <w:p>
      <w:r>
        <w:t xml:space="preserve">(3) Bei der Ermittlung der zu erwartenden Versorgung ist von den zum Ende der Ehezeit geltenden Bemessungsgrundlagen auszugehen. § 5 Abs. 2 Satz 2 bleibt unberührt.</w:t>
      </w:r>
    </w:p>
    <w:p>
      <w:r>
        <w:t xml:space="preserve">(4) Die zeitratierliche Bewertung ist insbesondere bei Anrechten anzuwenden, bei denen die Höhe der Versorgung von dem Entgelt abhängt, das bei Eintritt des Versorgungsfalls gezahlt werden würde.</w:t>
      </w:r>
    </w:p>
    <w:p>
      <w:r>
        <w:t xml:space="preserve">(5) Familienbezogene Bestandteile des Ehezeitanteils, die die Ehegatten nur auf Grund einer bestehenden Ehe oder für Kinder erhalten, dürfen nicht berücksichtigt werden.</w:t>
      </w:r>
    </w:p>
    <w:p>
      <w:r>
        <w:rPr>
          <w:color w:val="555555"/>
          <w:sz w:val="17"/>
        </w:rPr>
        <w:t xml:space="preserve">Zitiervorschlag: § 40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