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VersAusglG — Auskunftsansprüche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Ehegatten, ihre Hinterbliebenen und Erben sind verpflichtet, einander die für den Versorgungsausgleich erforderlichen Auskünfte zu erteilen.</w:t>
      </w:r>
    </w:p>
    <w:p>
      <w:r>
        <w:t xml:space="preserve">(2) Sofern ein Ehegatte, seine Hinterbliebenen oder Erben die erforderlichen Auskünfte von dem anderen Ehegatten, dessen Hinterbliebenen oder Erben nicht erhalten können, haben sie einen entsprechenden Auskunftsanspruch gegen die betroffenen Versorgungsträger.</w:t>
      </w:r>
    </w:p>
    <w:p>
      <w:r>
        <w:t xml:space="preserve">(3) Versorgungsträger können die erforderlichen Auskünfte von den Ehegatten, deren Hinterbliebenen und Erben sowie von den anderen Versorgungsträgern verlangen.</w:t>
      </w:r>
    </w:p>
    <w:p>
      <w:r>
        <w:t xml:space="preserve">(4) Für die Erteilung der Auskunft gilt § 1605 Abs. 1 Satz 2 und 3 des Bürgerlichen Gesetzbuchs entsprechend.</w:t>
      </w:r>
    </w:p>
    <w:p>
      <w:r>
        <w:rPr>
          <w:color w:val="555555"/>
          <w:sz w:val="17"/>
        </w:rPr>
        <w:t xml:space="preserve">Zitiervorschlag: § 4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