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VersAusglG — Durchführung einer Anpassung wegen Tod der ausgleichsberechtigten Person</w:t>
      </w:r>
    </w:p>
    <w:p>
      <w:r>
        <w:rPr>
          <w:color w:val="555555"/>
          <w:sz w:val="18"/>
        </w:rPr>
        <w:t xml:space="preserve">Versorgungsausgleichsgesetz</w:t>
      </w:r>
    </w:p>
    <w:p>
      <w:r>
        <w:rPr>
          <w:color w:val="555555"/>
          <w:sz w:val="18"/>
        </w:rPr>
        <w:t xml:space="preserve">Stand: 10.06.2019 (konsolidierte Textfassung, kein amtliches Inkrafttretensdatum)</w:t>
      </w:r>
    </w:p>
    <w:p>
      <w:r>
        <w:t xml:space="preserve">(1) Über die Anpassung entscheidet der Versorgungsträger, bei dem das auf Grund eines Versorgungsausgleichs gekürzte Anrecht besteht. Antragsberechtigt ist die ausgleichspflichtige Person.</w:t>
      </w:r>
    </w:p>
    <w:p>
      <w:r>
        <w:t xml:space="preserve">(2) § 34 Abs. 3 und 4 gilt entsprechend.</w:t>
      </w:r>
    </w:p>
    <w:p>
      <w:r>
        <w:t xml:space="preserve">(3) Die ausgleichspflichtige Person hat die anderen Versorgungsträger, bei denen sie Anrechte der verstorbenen ausgleichsberechtigten Person auf Grund des Versorgungsausgleichs erworben hat, unverzüglich über die Antragstellung zu unterrichten. Der zuständige Versorgungsträger unterrichtet die anderen Versorgungsträger über den Eingang des Antrags und seine Entscheidung.</w:t>
      </w:r>
    </w:p>
    <w:p>
      <w:r>
        <w:rPr>
          <w:color w:val="555555"/>
          <w:sz w:val="17"/>
        </w:rPr>
        <w:t xml:space="preserve">Zitiervorschlag: § 38 VersAusglG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https://recht.nulegal.eu/gesetze/VersAusglG/38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