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VersAusglG — Durchführung einer Anpassung wegen Invalidität der ausgleichspflichtigen Person oder einer für sie geltenden besonderen Altersgrenze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Anpassung, deren Abänderung und Aufhebung entscheidet der Versorgungsträger, bei dem das auf Grund des Versorgungsausgleichs gekürzte Anrecht besteht.</w:t>
      </w:r>
    </w:p>
    <w:p>
      <w:r>
        <w:t xml:space="preserve">(2) Antragsberechtigt ist die ausgleichspflichtige Person.</w:t>
      </w:r>
    </w:p>
    <w:p>
      <w:r>
        <w:t xml:space="preserve">(3) § 34 Abs. 3 und 4 gilt entsprechend.</w:t>
      </w:r>
    </w:p>
    <w:p>
      <w:r>
        <w:t xml:space="preserve">(4) Sobald die ausgleichspflichtige Person aus einem im Versorgungsausgleich erworbenen Anrecht eine Leistung im Sinne des § 35 Abs. 1 beziehen kann, hat sie den Versorgungsträger, der die Kürzung ausgesetzt hat, unverzüglich darüber zu unterrichten.</w:t>
      </w:r>
    </w:p>
    <w:p>
      <w:r>
        <w:rPr>
          <w:color w:val="555555"/>
          <w:sz w:val="17"/>
        </w:rPr>
        <w:t xml:space="preserve">Zitiervorschlag: § 36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