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 VersAusglG — Durchführung einer Anpassung wegen Unterhalt</w:t>
      </w:r>
    </w:p>
    <w:p>
      <w:r>
        <w:rPr>
          <w:color w:val="555555"/>
          <w:sz w:val="18"/>
        </w:rPr>
        <w:t xml:space="preserve">Versorgungsausgleichsgesetz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die Anpassung und deren Abänderung entscheidet das Familiengericht.</w:t>
      </w:r>
    </w:p>
    <w:p>
      <w:r>
        <w:t xml:space="preserve">(2) Antragsberechtigt sind die ausgleichspflichtige und die ausgleichsberechtigte Person. Die Abänderung einer Anpassung kann auch von dem Versorgungsträger verlangt werden.</w:t>
      </w:r>
    </w:p>
    <w:p>
      <w:r>
        <w:t xml:space="preserve">(3) Die Anpassung wirkt ab dem ersten Tag des Monats, der auf den Monat der Antragstellung folgt.</w:t>
      </w:r>
    </w:p>
    <w:p>
      <w:r>
        <w:t xml:space="preserve">(4) Der Anspruch auf Anpassung geht auf die Erben über, wenn der Erblasser den Antrag nach § 33 Abs. 1 gestellt hatte.</w:t>
      </w:r>
    </w:p>
    <w:p>
      <w:r>
        <w:t xml:space="preserve">(5) Die ausgleichspflichtige Person hat den Versorgungsträger, bei dem die Kürzung ausgesetzt ist, unverzüglich über den Wegfall oder Änderungen seiner Unterhaltszahlungen, über den Bezug einer laufenden Versorgung aus einem Anrecht nach § 32 sowie über den Rentenbezug, die Wiederheirat oder den Tod der ausgleichsberechtigten Person zu unterrichten.</w:t>
      </w:r>
    </w:p>
    <w:p>
      <w:r>
        <w:t xml:space="preserve">(6) Über die Beendigung der Aussetzung aus den in Absatz 5 genannten Gründen entscheidet der Versorgungsträger. Dies gilt nicht für den Fall der Änderung von Unterhaltszahlungen.</w:t>
      </w:r>
    </w:p>
    <w:p>
      <w:r>
        <w:rPr>
          <w:color w:val="555555"/>
          <w:sz w:val="17"/>
        </w:rPr>
        <w:t xml:space="preserve">Zitiervorschlag: § 34 VersAusglG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https://recht.nulegal.eu/gesetze/VersAusglG/34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