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VersAusglG — Anpassungsfähige Anrechte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33 bis 38 gelten für Anrechte aus</w:t>
      </w:r>
    </w:p>
    <w:p>
      <w:pPr>
        <w:ind w:left="420"/>
      </w:pPr>
      <w:r>
        <w:t xml:space="preserve">1. der gesetzlichen Rentenversicherung einschließlich der Höherversicherung,</w:t>
      </w:r>
    </w:p>
    <w:p>
      <w:pPr>
        <w:ind w:left="420"/>
      </w:pPr>
      <w:r>
        <w:t xml:space="preserve">2. der Beamtenversorgung oder einer anderen Versorgung, die zur Versicherungsfreiheit nach § 5 Abs. 1 des Sechsten Buches Sozialgesetzbuch führt,</w:t>
      </w:r>
    </w:p>
    <w:p>
      <w:pPr>
        <w:ind w:left="420"/>
      </w:pPr>
      <w:r>
        <w:t xml:space="preserve">3. einer berufsständischen oder einer anderen Versorgung, die nach § 6 Abs. 1 Nr. 1 oder Nr. 2 des Sechsten Buches Sozialgesetzbuch zu einer Befreiung von der Sozialversicherungspflicht führen kann,</w:t>
      </w:r>
    </w:p>
    <w:p>
      <w:pPr>
        <w:ind w:left="420"/>
      </w:pPr>
      <w:r>
        <w:t xml:space="preserve">4. der Alterssicherung der Landwirte,</w:t>
      </w:r>
    </w:p>
    <w:p>
      <w:pPr>
        <w:ind w:left="420"/>
      </w:pPr>
      <w:r>
        <w:t xml:space="preserve">5. den Versorgungssystemen der Abgeordneten und der Regierungsmitglieder im Bund und in den Ländern.</w:t>
      </w:r>
    </w:p>
    <w:p>
      <w:r>
        <w:rPr>
          <w:color w:val="555555"/>
          <w:sz w:val="17"/>
        </w:rPr>
        <w:t xml:space="preserve">Zitiervorschlag: § 32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