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VersAusglG — Ehezeit, Ausschluss bei kurzer Ehezeit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Ehezeit im Sinne dieses Gesetzes beginnt mit dem ersten Tag des Monats, in dem die Ehe geschlossen worden ist; sie endet am letzten Tag des Monats vor Zustellung des Scheidungsantrags.</w:t>
      </w:r>
    </w:p>
    <w:p>
      <w:r>
        <w:t xml:space="preserve">(2) In den Versorgungsausgleich sind alle Anrechte einzubeziehen, die in der Ehezeit erworben wurden.</w:t>
      </w:r>
    </w:p>
    <w:p>
      <w:r>
        <w:t xml:space="preserve">(3) Bei einer Ehezeit von bis zu drei Jahren findet ein Versorgungsausgleich nur statt, wenn ein Ehegatte dies beantragt.</w:t>
      </w:r>
    </w:p>
    <w:p>
      <w:r>
        <w:rPr>
          <w:color w:val="555555"/>
          <w:sz w:val="17"/>
        </w:rPr>
        <w:t xml:space="preserve">Zitiervorschlag: § 3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