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VersAusglG — Anspruch gegen die Witwe oder den Witwer</w:t>
      </w:r>
    </w:p>
    <w:p>
      <w:r>
        <w:rPr>
          <w:color w:val="555555"/>
          <w:sz w:val="18"/>
        </w:rPr>
        <w:t xml:space="preserve">Versorgungsausgleichsgesetz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Besteht ein noch nicht ausgeglichenes Anrecht bei einem ausländischen, zwischenstaatlichen oder überstaatlichen Versorgungsträger, so richtet sich der Anspruch nach § 25 Abs. 1 gegen die Witwe oder den Witwer der ausgleichspflichtigen Person, soweit der Versorgungsträger an die Witwe oder den Witwer eine Hinterbliebenenversorgung leistet.</w:t>
      </w:r>
    </w:p>
    <w:p>
      <w:r>
        <w:t xml:space="preserve">(2) § 25 Abs. 2 bis 4 gilt entsprechend.</w:t>
      </w:r>
    </w:p>
    <w:p>
      <w:r>
        <w:rPr>
          <w:color w:val="555555"/>
          <w:sz w:val="17"/>
        </w:rPr>
        <w:t xml:space="preserve">Zitiervorschlag: § 26 VersAusglG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https://recht.nulegal.eu/gesetze/VersAusglG/26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