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VersAusglG — Anspruch gegen den Versorgungsträger</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Stirbt die ausgleichspflichtige Person und besteht ein noch nicht ausgeglichenes Anrecht, so kann die ausgleichsberechtigte Person vom Versorgungsträger die Hinterbliebenenversorgung verlangen, die sie erhielte, wenn die Ehe bis zum Tod der ausgleichspflichtigen Person fortbestanden hätte.</w:t>
      </w:r>
    </w:p>
    <w:p>
      <w:r>
        <w:t xml:space="preserve">(2) Der Anspruch ist ausgeschlossen, wenn das Anrecht wegen einer Vereinbarung der Ehegatten nach den §§ 6 bis 8 oder wegen fehlender Ausgleichsreife nach § 19 Abs. 2 Nr. 2 oder Nr. 3 oder Abs. 3 vom Wertausgleich bei der Scheidung ausgenommen worden war.</w:t>
      </w:r>
    </w:p>
    <w:p>
      <w:r>
        <w:t xml:space="preserve">(3) Die Höhe des Anspruchs ist auf den Betrag beschränkt, den die ausgleichsberechtigte Person als schuldrechtliche Ausgleichsrente verlangen könnte. Leistungen, die sie von dem Versorgungsträger als Hinterbliebene erhält, sind anzurechnen.</w:t>
      </w:r>
    </w:p>
    <w:p>
      <w:r>
        <w:t xml:space="preserve">(4) § 20 Abs. 2 und 3 gilt entsprechend.</w:t>
      </w:r>
    </w:p>
    <w:p>
      <w:r>
        <w:t xml:space="preserve">(5) Eine Hinterbliebenenversorgung, die der Versorgungsträger an die Witwe oder den Witwer der ausgleichspflichtigen Person zahlt, ist um den nach den Absätzen 1 und 3 Satz 1 errechneten Betrag zu kürzen.</w:t>
      </w:r>
    </w:p>
    <w:p>
      <w:r>
        <w:rPr>
          <w:color w:val="555555"/>
          <w:sz w:val="17"/>
        </w:rPr>
        <w:t xml:space="preserve">Zitiervorschlag: § 25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