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VersAusglG — Höhe der Abfindung, Zweckbindung</w:t>
      </w:r>
    </w:p>
    <w:p>
      <w:r>
        <w:rPr>
          <w:color w:val="555555"/>
          <w:sz w:val="18"/>
        </w:rPr>
        <w:t xml:space="preserve">Versorgungsausgleichsgesetz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Höhe der Abfindung ist der Zeitwert des Ausgleichswerts maßgeblich. § 18 gilt entsprechend.</w:t>
      </w:r>
    </w:p>
    <w:p>
      <w:r>
        <w:t xml:space="preserve">(2) Für das Wahlrecht hinsichtlich der Zielversorgung gilt § 15 entsprechend.</w:t>
      </w:r>
    </w:p>
    <w:p>
      <w:r>
        <w:rPr>
          <w:color w:val="555555"/>
          <w:sz w:val="17"/>
        </w:rPr>
        <w:t xml:space="preserve">Zitiervorschlag: § 24 VersAusglG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https://recht.nulegal.eu/gesetze/VersAusglG/24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