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VersAusglG — Anspruch auf Abfindung, Zumutbarkeit</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Die ausgleichsberechtigte Person kann für ein noch nicht ausgeglichenes Anrecht von der ausgleichspflichtigen Person eine zweckgebundene Abfindung verlangen. Die Abfindung ist an den Versorgungsträger zu zahlen, bei dem ein bestehendes Anrecht ausgebaut oder ein neues Anrecht begründet werden soll.</w:t>
      </w:r>
    </w:p>
    <w:p>
      <w:r>
        <w:t xml:space="preserve">(2) Der Anspruch nach Absatz 1 besteht nur, wenn die Zahlung der Abfindung für die ausgleichspflichtige Person zumutbar ist.</w:t>
      </w:r>
    </w:p>
    <w:p>
      <w:r>
        <w:t xml:space="preserve">(3) Würde eine Einmalzahlung die ausgleichspflichtige Person unbillig belasten, so kann sie Ratenzahlung verlangen.</w:t>
      </w:r>
    </w:p>
    <w:p>
      <w:r>
        <w:rPr>
          <w:color w:val="555555"/>
          <w:sz w:val="17"/>
        </w:rPr>
        <w:t xml:space="preserve">Zitiervorschlag: § 23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