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VersAusglG — Auszugleichende Anrechte</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Anrechte im Sinne dieses Gesetzes sind im In- oder Ausland bestehende Anwartschaften auf Versorgungen und Ansprüche auf laufende Versorgungen, insbesondere aus der gesetzlichen Rentenversicherung, aus anderen Regelsicherungssystemen wie der Beamtenversorgung oder der berufsständischen Versorgung, aus der betrieblichen Altersversorgung oder aus der privaten Alters- und Invaliditätsvorsorge.</w:t>
      </w:r>
    </w:p>
    <w:p>
      <w:r>
        <w:t xml:space="preserve">(2) Ein Anrecht ist auszugleichen, sofern es</w:t>
      </w:r>
    </w:p>
    <w:p>
      <w:pPr>
        <w:ind w:left="420"/>
      </w:pPr>
      <w:r>
        <w:t xml:space="preserve">1. durch Arbeit oder Vermögen geschaffen oder aufrechterhalten worden ist,</w:t>
      </w:r>
    </w:p>
    <w:p>
      <w:pPr>
        <w:ind w:left="420"/>
      </w:pPr>
      <w:r>
        <w:t xml:space="preserve">2. der Absicherung im Alter oder bei Invalidität, insbesondere wegen verminderter Erwerbsfähigkeit, Berufsunfähigkeit oder Dienstunfähigkeit, dient und</w:t>
      </w:r>
    </w:p>
    <w:p>
      <w:pPr>
        <w:ind w:left="420"/>
      </w:pPr>
      <w:r>
        <w:t xml:space="preserve">3. auf eine Rente gerichtet ist; ein Anrecht im Sinne des Betriebsrentengesetzes oder des Altersvorsorgeverträge-Zertifizierungsgesetzes ist unabhängig von der Leistungsform auszugleichen.</w:t>
      </w:r>
    </w:p>
    <w:p>
      <w:r>
        <w:t xml:space="preserve">(3) Eine Anwartschaft im Sinne dieses Gesetzes liegt auch vor, wenn am Ende der Ehezeit eine für das Anrecht maßgebliche Wartezeit, Mindestbeschäftigungszeit, Mindestversicherungszeit oder ähnliche zeitliche Voraussetzung noch nicht erfüllt ist.</w:t>
      </w:r>
    </w:p>
    <w:p>
      <w:r>
        <w:t xml:space="preserve">(4) Ein güterrechtlicher Ausgleich für Anrechte im Sinne dieses Gesetzes findet nicht statt.</w:t>
      </w:r>
    </w:p>
    <w:p>
      <w:r>
        <w:rPr>
          <w:color w:val="555555"/>
          <w:sz w:val="17"/>
        </w:rPr>
        <w:t xml:space="preserve">Zitiervorschlag: § 2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